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745CC68B" w:rsidR="00DD6B5E" w:rsidRPr="00D34AF4" w:rsidRDefault="003129E8" w:rsidP="00DD6B5E">
      <w:pPr>
        <w:jc w:val="right"/>
        <w:rPr>
          <w:rFonts w:cs="Arial"/>
          <w:b/>
          <w:sz w:val="48"/>
          <w:szCs w:val="48"/>
        </w:rPr>
      </w:pPr>
      <w:bookmarkStart w:id="0" w:name="_Toc153189646"/>
      <w:r w:rsidRPr="00D34AF4">
        <w:rPr>
          <w:rFonts w:cs="Arial"/>
          <w:b/>
          <w:sz w:val="48"/>
          <w:szCs w:val="48"/>
        </w:rPr>
        <w:t xml:space="preserve">Work Paper </w:t>
      </w:r>
      <w:bookmarkEnd w:id="0"/>
      <w:r w:rsidR="00330B6B" w:rsidRPr="00D34AF4">
        <w:rPr>
          <w:rFonts w:cs="Arial"/>
          <w:b/>
          <w:sz w:val="48"/>
          <w:szCs w:val="48"/>
        </w:rPr>
        <w:t>PGECOHVC106</w:t>
      </w:r>
    </w:p>
    <w:p w14:paraId="393A0868" w14:textId="77CC7093" w:rsidR="00A167EC" w:rsidRPr="00D34AF4" w:rsidRDefault="00330B6B" w:rsidP="00A167EC">
      <w:pPr>
        <w:jc w:val="right"/>
        <w:rPr>
          <w:rFonts w:cs="Arial"/>
          <w:b/>
          <w:sz w:val="48"/>
          <w:szCs w:val="48"/>
        </w:rPr>
      </w:pPr>
      <w:r w:rsidRPr="00D34AF4">
        <w:rPr>
          <w:rFonts w:cs="Arial"/>
          <w:b/>
          <w:sz w:val="48"/>
          <w:szCs w:val="48"/>
        </w:rPr>
        <w:t>VFDs for HVAC Fans</w:t>
      </w:r>
    </w:p>
    <w:p w14:paraId="393A0869" w14:textId="3880229B" w:rsidR="003129E8" w:rsidRPr="002E0043" w:rsidRDefault="003129E8" w:rsidP="002E0043">
      <w:pPr>
        <w:jc w:val="right"/>
        <w:rPr>
          <w:rFonts w:cs="Arial"/>
          <w:b/>
          <w:sz w:val="48"/>
          <w:szCs w:val="48"/>
        </w:rPr>
      </w:pPr>
      <w:bookmarkStart w:id="1" w:name="_Toc153189647"/>
      <w:r w:rsidRPr="00D34AF4">
        <w:rPr>
          <w:rFonts w:cs="Arial"/>
          <w:b/>
          <w:sz w:val="48"/>
          <w:szCs w:val="48"/>
        </w:rPr>
        <w:t>Revision #</w:t>
      </w:r>
      <w:bookmarkEnd w:id="1"/>
      <w:r w:rsidR="00D7047A" w:rsidRPr="00D34AF4">
        <w:rPr>
          <w:rFonts w:cs="Arial"/>
          <w:b/>
          <w:sz w:val="48"/>
          <w:szCs w:val="48"/>
        </w:rPr>
        <w:t xml:space="preserve"> </w:t>
      </w:r>
      <w:r w:rsidR="00330B6B" w:rsidRPr="00D34AF4">
        <w:rPr>
          <w:rFonts w:cs="Arial"/>
          <w:b/>
          <w:sz w:val="48"/>
          <w:szCs w:val="48"/>
        </w:rPr>
        <w:t>4</w:t>
      </w:r>
    </w:p>
    <w:p w14:paraId="393A086A" w14:textId="77777777" w:rsidR="003129E8" w:rsidRDefault="003129E8" w:rsidP="003129E8"/>
    <w:p w14:paraId="393A086B"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393A086C" w14:textId="77777777" w:rsidR="00D7047A" w:rsidRPr="002E0043" w:rsidRDefault="00661864" w:rsidP="00D7047A">
      <w:pPr>
        <w:rPr>
          <w:rFonts w:cs="Arial"/>
          <w:b/>
          <w:sz w:val="32"/>
          <w:szCs w:val="32"/>
        </w:rPr>
      </w:pPr>
      <w:r>
        <w:rPr>
          <w:rFonts w:cs="Arial"/>
          <w:b/>
          <w:sz w:val="32"/>
          <w:szCs w:val="32"/>
        </w:rPr>
        <w:t xml:space="preserve">Customer Energy Solutions </w:t>
      </w:r>
    </w:p>
    <w:p w14:paraId="393A086D" w14:textId="77777777" w:rsidR="00E34E73" w:rsidRDefault="00E34E73" w:rsidP="00324D0F">
      <w:pPr>
        <w:rPr>
          <w:rFonts w:cs="Arial"/>
          <w:b/>
          <w:highlight w:val="cyan"/>
        </w:rPr>
      </w:pPr>
    </w:p>
    <w:p w14:paraId="393A086E" w14:textId="77777777" w:rsidR="00C274E0" w:rsidRPr="00D34AF4" w:rsidRDefault="00C274E0" w:rsidP="00324D0F">
      <w:pPr>
        <w:rPr>
          <w:rFonts w:cs="Arial"/>
          <w:b/>
          <w:highlight w:val="cyan"/>
        </w:rPr>
      </w:pPr>
    </w:p>
    <w:p w14:paraId="393A086F" w14:textId="77777777" w:rsidR="00C274E0" w:rsidRPr="00D34AF4" w:rsidRDefault="00C274E0" w:rsidP="00324D0F">
      <w:pPr>
        <w:rPr>
          <w:rFonts w:cs="Arial"/>
          <w:b/>
          <w:highlight w:val="cyan"/>
        </w:rPr>
      </w:pPr>
    </w:p>
    <w:p w14:paraId="393A0873" w14:textId="26BC5E90" w:rsidR="00324D0F" w:rsidRPr="00D34AF4" w:rsidRDefault="00324D0F" w:rsidP="00324D0F">
      <w:pPr>
        <w:rPr>
          <w:rFonts w:cs="Arial"/>
          <w:b/>
          <w:bCs/>
          <w:i/>
        </w:rPr>
      </w:pPr>
    </w:p>
    <w:p w14:paraId="393A0874" w14:textId="303D0D74" w:rsidR="00324D0F" w:rsidRPr="00D34AF4" w:rsidRDefault="00330B6B" w:rsidP="00A167EC">
      <w:pPr>
        <w:ind w:right="-720"/>
        <w:rPr>
          <w:rFonts w:cs="Arial"/>
          <w:b/>
          <w:sz w:val="72"/>
          <w:szCs w:val="72"/>
        </w:rPr>
      </w:pPr>
      <w:r w:rsidRPr="00D34AF4">
        <w:rPr>
          <w:rFonts w:cs="Arial"/>
          <w:b/>
          <w:sz w:val="72"/>
          <w:szCs w:val="72"/>
        </w:rPr>
        <w:t>Variable Frequency Drives (VFDs) for HVAC Fans</w:t>
      </w:r>
    </w:p>
    <w:p w14:paraId="393A0875" w14:textId="0ED363EB" w:rsidR="00B421F2" w:rsidRPr="00D34AF4" w:rsidRDefault="00A167EC" w:rsidP="002D4621">
      <w:pPr>
        <w:ind w:right="-720"/>
        <w:rPr>
          <w:rFonts w:cs="Arial"/>
          <w:b/>
        </w:rPr>
      </w:pPr>
      <w:r w:rsidRPr="00D34AF4">
        <w:rPr>
          <w:rFonts w:cs="Arial"/>
          <w:b/>
        </w:rPr>
        <w:t>Measure Code</w:t>
      </w:r>
      <w:r w:rsidR="00330B6B" w:rsidRPr="00D34AF4">
        <w:rPr>
          <w:rFonts w:cs="Arial"/>
          <w:b/>
        </w:rPr>
        <w:t xml:space="preserve"> H148</w:t>
      </w:r>
    </w:p>
    <w:p w14:paraId="393A0877" w14:textId="77777777" w:rsidR="00CB3583" w:rsidRPr="00D34AF4" w:rsidRDefault="00CB3583" w:rsidP="002E0043">
      <w:pPr>
        <w:rPr>
          <w:rFonts w:cs="Arial"/>
          <w:b/>
          <w:i/>
          <w:highlight w:val="cyan"/>
        </w:rPr>
      </w:pPr>
    </w:p>
    <w:p w14:paraId="393A0878" w14:textId="77777777" w:rsidR="003D3F36" w:rsidRPr="00C274E0" w:rsidRDefault="003D3F36" w:rsidP="00844B27">
      <w:pPr>
        <w:rPr>
          <w:rFonts w:cs="Arial"/>
          <w:b/>
          <w:i/>
          <w:highlight w:val="cyan"/>
        </w:rPr>
      </w:pPr>
      <w:bookmarkStart w:id="2" w:name="_GoBack"/>
      <w:bookmarkEnd w:id="2"/>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0E2763">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start="1"/>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6699707"/>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330B6B" w:rsidRPr="00A55DD1" w14:paraId="393A088C" w14:textId="77777777" w:rsidTr="00330B6B">
        <w:trPr>
          <w:trHeight w:val="465"/>
        </w:trPr>
        <w:tc>
          <w:tcPr>
            <w:tcW w:w="4161" w:type="dxa"/>
            <w:shd w:val="pct20" w:color="000000" w:fill="FFFFFF"/>
          </w:tcPr>
          <w:p w14:paraId="393A0888" w14:textId="77777777" w:rsidR="00330B6B" w:rsidRPr="00610FC6" w:rsidRDefault="00330B6B" w:rsidP="0028709C">
            <w:pPr>
              <w:rPr>
                <w:rStyle w:val="Strong"/>
              </w:rPr>
            </w:pPr>
            <w:r w:rsidRPr="00610FC6">
              <w:rPr>
                <w:rStyle w:val="Strong"/>
              </w:rPr>
              <w:t>Applicable Measure Codes:</w:t>
            </w:r>
          </w:p>
        </w:tc>
        <w:tc>
          <w:tcPr>
            <w:tcW w:w="5487" w:type="dxa"/>
            <w:shd w:val="pct20" w:color="000000" w:fill="FFFFFF"/>
          </w:tcPr>
          <w:p w14:paraId="393A088B" w14:textId="4350427A" w:rsidR="00330B6B" w:rsidRPr="00330B6B" w:rsidRDefault="00330B6B" w:rsidP="0028709C">
            <w:pPr>
              <w:rPr>
                <w:rFonts w:cs="Arial"/>
                <w:bCs/>
                <w:sz w:val="20"/>
                <w:szCs w:val="20"/>
              </w:rPr>
            </w:pPr>
            <w:r w:rsidRPr="00330B6B">
              <w:rPr>
                <w:rFonts w:cs="Arial"/>
                <w:bCs/>
                <w:sz w:val="20"/>
                <w:szCs w:val="20"/>
              </w:rPr>
              <w:t>H148</w:t>
            </w:r>
          </w:p>
        </w:tc>
      </w:tr>
      <w:tr w:rsidR="000571F6" w:rsidRPr="00A55DD1" w14:paraId="393A088F" w14:textId="77777777" w:rsidTr="00783DAC">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2F8B88E1" w:rsidR="000571F6" w:rsidRPr="000E22C9" w:rsidRDefault="00330B6B" w:rsidP="0028709C">
            <w:pPr>
              <w:rPr>
                <w:rFonts w:cs="Arial"/>
                <w:sz w:val="20"/>
                <w:szCs w:val="20"/>
              </w:rPr>
            </w:pPr>
            <w:r>
              <w:rPr>
                <w:rFonts w:cs="Arial"/>
                <w:sz w:val="20"/>
                <w:szCs w:val="20"/>
              </w:rPr>
              <w:t>Install a variable frequency drive and associated controls on an existing constant speed HVAC supply or return fan.</w:t>
            </w:r>
          </w:p>
        </w:tc>
      </w:tr>
      <w:tr w:rsidR="000571F6" w:rsidRPr="00A55DD1" w14:paraId="393A0892" w14:textId="77777777" w:rsidTr="00783DAC">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33E2BBF0" w:rsidR="000571F6" w:rsidRPr="000E22C9" w:rsidRDefault="00330B6B" w:rsidP="000A2ABA">
            <w:pPr>
              <w:rPr>
                <w:rFonts w:cs="Arial"/>
                <w:sz w:val="20"/>
                <w:szCs w:val="20"/>
              </w:rPr>
            </w:pPr>
            <w:r>
              <w:rPr>
                <w:rFonts w:cs="Arial"/>
                <w:sz w:val="20"/>
                <w:szCs w:val="20"/>
              </w:rPr>
              <w:t xml:space="preserve">Per fan motor </w:t>
            </w:r>
            <w:proofErr w:type="spellStart"/>
            <w:r>
              <w:rPr>
                <w:rFonts w:cs="Arial"/>
                <w:sz w:val="20"/>
                <w:szCs w:val="20"/>
              </w:rPr>
              <w:t>hp</w:t>
            </w:r>
            <w:proofErr w:type="spellEnd"/>
          </w:p>
        </w:tc>
      </w:tr>
      <w:tr w:rsidR="000571F6" w:rsidRPr="00A55DD1" w14:paraId="393A0895" w14:textId="77777777" w:rsidTr="00783DAC">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62258FBB" w14:textId="77777777" w:rsidR="005F57B5" w:rsidRDefault="00330B6B" w:rsidP="000A2ABA">
            <w:pPr>
              <w:rPr>
                <w:rFonts w:cs="Arial"/>
                <w:sz w:val="20"/>
                <w:szCs w:val="20"/>
              </w:rPr>
            </w:pPr>
            <w:r>
              <w:rPr>
                <w:rFonts w:cs="Arial"/>
                <w:sz w:val="20"/>
                <w:szCs w:val="20"/>
              </w:rPr>
              <w:t>Source: DEER2014, Legacy Measure ID: D03-051</w:t>
            </w:r>
          </w:p>
          <w:p w14:paraId="393A0894" w14:textId="3255FA40" w:rsidR="00330B6B" w:rsidRPr="000E22C9" w:rsidRDefault="00330B6B" w:rsidP="000A2ABA">
            <w:pPr>
              <w:rPr>
                <w:rFonts w:cs="Arial"/>
                <w:sz w:val="20"/>
                <w:szCs w:val="20"/>
              </w:rPr>
            </w:pPr>
            <w:r>
              <w:rPr>
                <w:rFonts w:cs="Arial"/>
                <w:sz w:val="20"/>
                <w:szCs w:val="20"/>
              </w:rPr>
              <w:t>The baseline fans are simulated as forward curved fans with discharge dampers.</w:t>
            </w:r>
            <w:bookmarkStart w:id="7" w:name="_Ref190594526"/>
            <w:r w:rsidRPr="009839DD">
              <w:rPr>
                <w:sz w:val="20"/>
                <w:szCs w:val="20"/>
              </w:rPr>
              <w:t xml:space="preserve"> </w:t>
            </w:r>
            <w:r w:rsidRPr="009839DD">
              <w:rPr>
                <w:rStyle w:val="EndnoteReference"/>
                <w:sz w:val="20"/>
                <w:szCs w:val="20"/>
              </w:rPr>
              <w:endnoteReference w:id="1"/>
            </w:r>
            <w:bookmarkEnd w:id="7"/>
          </w:p>
        </w:tc>
      </w:tr>
      <w:tr w:rsidR="000571F6" w:rsidRPr="00A55DD1" w14:paraId="393A0898" w14:textId="77777777" w:rsidTr="00783DAC">
        <w:trPr>
          <w:trHeight w:val="465"/>
        </w:trPr>
        <w:tc>
          <w:tcPr>
            <w:tcW w:w="4161" w:type="dxa"/>
            <w:shd w:val="pct20" w:color="000000" w:fill="FFFFFF"/>
          </w:tcPr>
          <w:p w14:paraId="393A0896" w14:textId="5607D120"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7B5BE4B0" w14:textId="77777777" w:rsidR="000571F6" w:rsidRDefault="00DF7681" w:rsidP="00330B6B">
            <w:pPr>
              <w:rPr>
                <w:rFonts w:cs="Arial"/>
                <w:sz w:val="20"/>
                <w:szCs w:val="20"/>
              </w:rPr>
            </w:pPr>
            <w:r w:rsidRPr="000E22C9">
              <w:rPr>
                <w:rFonts w:cs="Arial"/>
                <w:sz w:val="20"/>
                <w:szCs w:val="20"/>
              </w:rPr>
              <w:t xml:space="preserve">Source: </w:t>
            </w:r>
            <w:r w:rsidR="00330B6B">
              <w:rPr>
                <w:rFonts w:cs="Arial"/>
                <w:sz w:val="20"/>
                <w:szCs w:val="20"/>
              </w:rPr>
              <w:t>DEER2014, Legacy Measure ID: D03-051</w:t>
            </w:r>
          </w:p>
          <w:p w14:paraId="393A0897" w14:textId="1DAFEB1F" w:rsidR="00330B6B" w:rsidRPr="000E22C9" w:rsidRDefault="00330B6B" w:rsidP="00330B6B">
            <w:pPr>
              <w:rPr>
                <w:rFonts w:cs="Arial"/>
                <w:sz w:val="20"/>
                <w:szCs w:val="20"/>
              </w:rPr>
            </w:pPr>
            <w:r>
              <w:rPr>
                <w:rFonts w:cs="Arial"/>
                <w:sz w:val="20"/>
                <w:szCs w:val="20"/>
              </w:rPr>
              <w:t>Varies with building type, building vintage, and climate zone.</w:t>
            </w:r>
          </w:p>
        </w:tc>
      </w:tr>
      <w:tr w:rsidR="002C4F1C" w:rsidRPr="00A55DD1" w14:paraId="393A089C" w14:textId="77777777" w:rsidTr="00783DAC">
        <w:trPr>
          <w:trHeight w:val="465"/>
        </w:trPr>
        <w:tc>
          <w:tcPr>
            <w:tcW w:w="4161" w:type="dxa"/>
            <w:shd w:val="pct5" w:color="000000" w:fill="FFFFFF"/>
          </w:tcPr>
          <w:p w14:paraId="393A0899" w14:textId="0F612AB4"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393A089B" w14:textId="014CABCE" w:rsidR="002C4F1C" w:rsidRPr="000E22C9" w:rsidRDefault="00330B6B" w:rsidP="00EB4429">
            <w:pPr>
              <w:rPr>
                <w:rFonts w:cs="Arial"/>
                <w:sz w:val="20"/>
                <w:szCs w:val="20"/>
              </w:rPr>
            </w:pPr>
            <w:r>
              <w:rPr>
                <w:rFonts w:cs="Arial"/>
                <w:sz w:val="20"/>
                <w:szCs w:val="20"/>
              </w:rPr>
              <w:t>Not explicitly stated in DEER documentation.</w:t>
            </w:r>
          </w:p>
        </w:tc>
      </w:tr>
      <w:tr w:rsidR="002C4F1C" w:rsidRPr="00A55DD1" w14:paraId="393A08A0" w14:textId="77777777" w:rsidTr="00783DAC">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234B4B5C" w14:textId="77777777" w:rsidR="002C4F1C" w:rsidRDefault="00A84D4B" w:rsidP="00330B6B">
            <w:pPr>
              <w:rPr>
                <w:rFonts w:cs="Arial"/>
                <w:sz w:val="20"/>
                <w:szCs w:val="20"/>
              </w:rPr>
            </w:pPr>
            <w:r w:rsidRPr="000E22C9">
              <w:rPr>
                <w:rFonts w:cs="Arial"/>
                <w:sz w:val="20"/>
                <w:szCs w:val="20"/>
              </w:rPr>
              <w:t xml:space="preserve">Source: </w:t>
            </w:r>
            <w:r w:rsidR="00330B6B">
              <w:rPr>
                <w:rFonts w:cs="Arial"/>
                <w:sz w:val="20"/>
                <w:szCs w:val="20"/>
              </w:rPr>
              <w:t>DEER2014, Legacy Measure ID: D03-051</w:t>
            </w:r>
          </w:p>
          <w:p w14:paraId="393A089F" w14:textId="72579F10" w:rsidR="00330B6B" w:rsidRPr="000E22C9" w:rsidRDefault="00330B6B" w:rsidP="00330B6B">
            <w:pPr>
              <w:rPr>
                <w:rFonts w:cs="Arial"/>
                <w:sz w:val="20"/>
                <w:szCs w:val="20"/>
              </w:rPr>
            </w:pPr>
            <w:r>
              <w:rPr>
                <w:rFonts w:cs="Arial"/>
                <w:sz w:val="20"/>
                <w:szCs w:val="20"/>
              </w:rPr>
              <w:t>Varies with building type, building vintage, and climate zone.</w:t>
            </w:r>
            <w:r>
              <w:rPr>
                <w:sz w:val="20"/>
                <w:szCs w:val="20"/>
              </w:rPr>
              <w:t xml:space="preserve"> </w:t>
            </w:r>
            <w:r>
              <w:rPr>
                <w:rStyle w:val="EndnoteReference"/>
                <w:sz w:val="20"/>
                <w:szCs w:val="20"/>
              </w:rPr>
              <w:endnoteReference w:id="2"/>
            </w:r>
          </w:p>
        </w:tc>
      </w:tr>
      <w:tr w:rsidR="000571F6" w:rsidRPr="00A55DD1" w14:paraId="393A08A3" w14:textId="77777777" w:rsidTr="00783DAC">
        <w:trPr>
          <w:trHeight w:val="465"/>
        </w:trPr>
        <w:tc>
          <w:tcPr>
            <w:tcW w:w="4161" w:type="dxa"/>
            <w:shd w:val="pct5" w:color="000000" w:fill="FFFFFF"/>
          </w:tcPr>
          <w:p w14:paraId="393A08A1" w14:textId="1A96BE00"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51CD06A1" w:rsidR="000571F6" w:rsidRPr="000E22C9" w:rsidRDefault="00330B6B" w:rsidP="0028709C">
            <w:pPr>
              <w:rPr>
                <w:rFonts w:cs="Arial"/>
                <w:sz w:val="20"/>
                <w:szCs w:val="20"/>
              </w:rPr>
            </w:pPr>
            <w:r>
              <w:rPr>
                <w:rFonts w:cs="Arial"/>
                <w:sz w:val="20"/>
                <w:szCs w:val="20"/>
              </w:rPr>
              <w:t xml:space="preserve">Per rated fan motor </w:t>
            </w:r>
            <w:proofErr w:type="spellStart"/>
            <w:r>
              <w:rPr>
                <w:rFonts w:cs="Arial"/>
                <w:sz w:val="20"/>
                <w:szCs w:val="20"/>
              </w:rPr>
              <w:t>hp</w:t>
            </w:r>
            <w:proofErr w:type="spellEnd"/>
          </w:p>
        </w:tc>
      </w:tr>
      <w:tr w:rsidR="007B44FB" w:rsidRPr="00A55DD1" w14:paraId="393A08A7" w14:textId="77777777" w:rsidTr="00783DAC">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6F866A95" w14:textId="77777777" w:rsidR="007B44FB" w:rsidRDefault="002208B3" w:rsidP="00EB4429">
            <w:pPr>
              <w:rPr>
                <w:rFonts w:cs="Arial"/>
                <w:sz w:val="20"/>
                <w:szCs w:val="20"/>
              </w:rPr>
            </w:pPr>
            <w:r>
              <w:rPr>
                <w:rFonts w:cs="Arial"/>
                <w:sz w:val="20"/>
                <w:szCs w:val="20"/>
              </w:rPr>
              <w:t>Source: DEER2014 – D03-051 and DEER 2008 for 09-11 Planning/Reporting</w:t>
            </w:r>
          </w:p>
          <w:p w14:paraId="393A08A6" w14:textId="218FAE22" w:rsidR="002208B3" w:rsidRPr="000E22C9" w:rsidRDefault="002208B3" w:rsidP="00EB4429">
            <w:pPr>
              <w:rPr>
                <w:rFonts w:cs="Arial"/>
                <w:sz w:val="20"/>
                <w:szCs w:val="20"/>
              </w:rPr>
            </w:pPr>
            <w:r>
              <w:rPr>
                <w:rFonts w:cs="Arial"/>
                <w:sz w:val="20"/>
                <w:szCs w:val="20"/>
              </w:rPr>
              <w:t xml:space="preserve">$0.00 </w:t>
            </w:r>
            <w:bookmarkStart w:id="8" w:name="_Ref385602027"/>
            <w:r w:rsidRPr="001423C6">
              <w:rPr>
                <w:rStyle w:val="EndnoteReference"/>
                <w:sz w:val="20"/>
                <w:szCs w:val="20"/>
              </w:rPr>
              <w:endnoteReference w:id="3"/>
            </w:r>
            <w:bookmarkEnd w:id="8"/>
            <w:r w:rsidRPr="00CD1D7F">
              <w:rPr>
                <w:position w:val="6"/>
                <w:sz w:val="20"/>
                <w:szCs w:val="20"/>
              </w:rPr>
              <w:t>,</w:t>
            </w:r>
            <w:bookmarkStart w:id="9" w:name="_Ref327541127"/>
            <w:r w:rsidRPr="00345E25">
              <w:rPr>
                <w:rStyle w:val="EndnoteReference"/>
                <w:sz w:val="20"/>
                <w:szCs w:val="20"/>
              </w:rPr>
              <w:endnoteReference w:id="4"/>
            </w:r>
            <w:bookmarkEnd w:id="9"/>
            <w:r>
              <w:rPr>
                <w:position w:val="6"/>
                <w:sz w:val="20"/>
                <w:szCs w:val="20"/>
              </w:rPr>
              <w:t>,</w:t>
            </w:r>
            <w:bookmarkStart w:id="10" w:name="_Ref327541162"/>
            <w:r>
              <w:rPr>
                <w:rStyle w:val="EndnoteReference"/>
                <w:sz w:val="20"/>
                <w:szCs w:val="20"/>
              </w:rPr>
              <w:endnoteReference w:id="5"/>
            </w:r>
            <w:bookmarkEnd w:id="10"/>
            <w:r>
              <w:rPr>
                <w:position w:val="6"/>
                <w:sz w:val="20"/>
                <w:szCs w:val="20"/>
              </w:rPr>
              <w:t>,</w:t>
            </w:r>
            <w:r w:rsidRPr="00E63F5F">
              <w:rPr>
                <w:vertAlign w:val="superscript"/>
              </w:rPr>
              <w:fldChar w:fldCharType="begin"/>
            </w:r>
            <w:r w:rsidRPr="00E63F5F">
              <w:rPr>
                <w:vertAlign w:val="superscript"/>
              </w:rPr>
              <w:instrText xml:space="preserve"> NOTEREF _Ref324855887 \h  \* MERGEFORMAT </w:instrText>
            </w:r>
            <w:r w:rsidRPr="00E63F5F">
              <w:rPr>
                <w:vertAlign w:val="superscript"/>
              </w:rPr>
            </w:r>
            <w:r w:rsidRPr="00E63F5F">
              <w:rPr>
                <w:vertAlign w:val="superscript"/>
              </w:rPr>
              <w:fldChar w:fldCharType="separate"/>
            </w:r>
            <w:r>
              <w:rPr>
                <w:vertAlign w:val="superscript"/>
              </w:rPr>
              <w:t>6</w:t>
            </w:r>
            <w:r w:rsidRPr="00E63F5F">
              <w:rPr>
                <w:vertAlign w:val="superscript"/>
              </w:rPr>
              <w:fldChar w:fldCharType="end"/>
            </w:r>
          </w:p>
        </w:tc>
      </w:tr>
      <w:tr w:rsidR="002208B3" w:rsidRPr="00A55DD1" w14:paraId="393A08AA" w14:textId="77777777" w:rsidTr="00783DAC">
        <w:trPr>
          <w:trHeight w:val="465"/>
        </w:trPr>
        <w:tc>
          <w:tcPr>
            <w:tcW w:w="4161" w:type="dxa"/>
            <w:shd w:val="pct5" w:color="000000" w:fill="FFFFFF"/>
          </w:tcPr>
          <w:p w14:paraId="393A08A8" w14:textId="12B3C7A6" w:rsidR="002208B3" w:rsidRPr="00610FC6" w:rsidRDefault="002208B3" w:rsidP="0028709C">
            <w:pPr>
              <w:rPr>
                <w:rStyle w:val="Strong"/>
              </w:rPr>
            </w:pPr>
            <w:r w:rsidRPr="00610FC6">
              <w:rPr>
                <w:rStyle w:val="Strong"/>
              </w:rPr>
              <w:t xml:space="preserve">Measure Equipment Cost ($/unit): </w:t>
            </w:r>
          </w:p>
        </w:tc>
        <w:tc>
          <w:tcPr>
            <w:tcW w:w="5487" w:type="dxa"/>
            <w:shd w:val="pct5" w:color="000000" w:fill="FFFFFF"/>
          </w:tcPr>
          <w:p w14:paraId="393A08A9" w14:textId="21F008C8" w:rsidR="002208B3" w:rsidRPr="00A55DD1" w:rsidRDefault="002208B3" w:rsidP="0028709C">
            <w:pPr>
              <w:rPr>
                <w:rFonts w:cs="Arial"/>
                <w:sz w:val="20"/>
                <w:szCs w:val="20"/>
              </w:rPr>
            </w:pPr>
            <w:r>
              <w:rPr>
                <w:rFonts w:cs="Arial"/>
                <w:sz w:val="20"/>
                <w:szCs w:val="20"/>
              </w:rPr>
              <w:t>Source: DEER2014 – D03-051 and DEER 2008 for 09-11 Planning and Reporting (Measure equipment cost varies by climate zone)</w:t>
            </w:r>
            <w:r w:rsidRPr="00E63F5F">
              <w:rPr>
                <w:vertAlign w:val="superscript"/>
              </w:rPr>
              <w:t xml:space="preserve"> </w:t>
            </w:r>
            <w:r w:rsidRPr="00E63F5F">
              <w:rPr>
                <w:vertAlign w:val="superscript"/>
              </w:rPr>
              <w:fldChar w:fldCharType="begin"/>
            </w:r>
            <w:r w:rsidRPr="00E63F5F">
              <w:rPr>
                <w:vertAlign w:val="superscript"/>
              </w:rPr>
              <w:instrText xml:space="preserve"> NOTEREF _Ref190835248 \f \h  \* MERGEFORMAT </w:instrText>
            </w:r>
            <w:r w:rsidRPr="00E63F5F">
              <w:rPr>
                <w:vertAlign w:val="superscript"/>
              </w:rPr>
            </w:r>
            <w:r w:rsidRPr="00E63F5F">
              <w:rPr>
                <w:vertAlign w:val="superscript"/>
              </w:rPr>
              <w:fldChar w:fldCharType="separate"/>
            </w:r>
            <w:r w:rsidRPr="006C5B14">
              <w:rPr>
                <w:vertAlign w:val="superscript"/>
              </w:rPr>
              <w:t>3</w:t>
            </w:r>
            <w:r w:rsidRPr="00E63F5F">
              <w:rPr>
                <w:vertAlign w:val="superscript"/>
              </w:rPr>
              <w:fldChar w:fldCharType="end"/>
            </w:r>
            <w:r w:rsidRPr="001C23D0">
              <w:rPr>
                <w:position w:val="6"/>
                <w:sz w:val="20"/>
                <w:szCs w:val="20"/>
              </w:rPr>
              <w:t>,</w:t>
            </w:r>
            <w:bookmarkStart w:id="11" w:name="_Ref324855887"/>
            <w:r w:rsidRPr="00F847B7">
              <w:rPr>
                <w:sz w:val="20"/>
                <w:szCs w:val="20"/>
                <w:vertAlign w:val="superscript"/>
              </w:rPr>
              <w:fldChar w:fldCharType="begin"/>
            </w:r>
            <w:r w:rsidRPr="00F847B7">
              <w:rPr>
                <w:sz w:val="20"/>
                <w:szCs w:val="20"/>
                <w:vertAlign w:val="superscript"/>
              </w:rPr>
              <w:instrText xml:space="preserve"> NOTEREF _Ref327541127 \h  \* MERGEFORMAT </w:instrText>
            </w:r>
            <w:r w:rsidRPr="00F847B7">
              <w:rPr>
                <w:sz w:val="20"/>
                <w:szCs w:val="20"/>
                <w:vertAlign w:val="superscript"/>
              </w:rPr>
            </w:r>
            <w:r w:rsidRPr="00F847B7">
              <w:rPr>
                <w:sz w:val="20"/>
                <w:szCs w:val="20"/>
                <w:vertAlign w:val="superscript"/>
              </w:rPr>
              <w:fldChar w:fldCharType="separate"/>
            </w:r>
            <w:r>
              <w:rPr>
                <w:sz w:val="20"/>
                <w:szCs w:val="20"/>
                <w:vertAlign w:val="superscript"/>
              </w:rPr>
              <w:t>4</w:t>
            </w:r>
            <w:r w:rsidRPr="00F847B7">
              <w:rPr>
                <w:sz w:val="20"/>
                <w:szCs w:val="20"/>
                <w:vertAlign w:val="superscript"/>
              </w:rPr>
              <w:fldChar w:fldCharType="end"/>
            </w:r>
            <w:r>
              <w:rPr>
                <w:sz w:val="20"/>
                <w:szCs w:val="20"/>
                <w:vertAlign w:val="superscript"/>
              </w:rPr>
              <w:t>,</w:t>
            </w:r>
            <w:r>
              <w:rPr>
                <w:sz w:val="20"/>
                <w:szCs w:val="20"/>
                <w:vertAlign w:val="superscript"/>
              </w:rPr>
              <w:fldChar w:fldCharType="begin"/>
            </w:r>
            <w:r>
              <w:rPr>
                <w:sz w:val="20"/>
                <w:szCs w:val="20"/>
                <w:vertAlign w:val="superscript"/>
              </w:rPr>
              <w:instrText xml:space="preserve"> NOTEREF _Ref327541162 \h </w:instrText>
            </w:r>
            <w:r>
              <w:rPr>
                <w:sz w:val="20"/>
                <w:szCs w:val="20"/>
                <w:vertAlign w:val="superscript"/>
              </w:rPr>
            </w:r>
            <w:r>
              <w:rPr>
                <w:sz w:val="20"/>
                <w:szCs w:val="20"/>
                <w:vertAlign w:val="superscript"/>
              </w:rPr>
              <w:fldChar w:fldCharType="separate"/>
            </w:r>
            <w:r>
              <w:rPr>
                <w:sz w:val="20"/>
                <w:szCs w:val="20"/>
                <w:vertAlign w:val="superscript"/>
              </w:rPr>
              <w:t>5</w:t>
            </w:r>
            <w:r>
              <w:rPr>
                <w:sz w:val="20"/>
                <w:szCs w:val="20"/>
                <w:vertAlign w:val="superscript"/>
              </w:rPr>
              <w:fldChar w:fldCharType="end"/>
            </w:r>
            <w:r>
              <w:rPr>
                <w:sz w:val="20"/>
                <w:szCs w:val="20"/>
                <w:vertAlign w:val="superscript"/>
              </w:rPr>
              <w:t>,</w:t>
            </w:r>
            <w:bookmarkStart w:id="12" w:name="_Ref327541215"/>
            <w:r w:rsidRPr="001423C6">
              <w:rPr>
                <w:sz w:val="20"/>
                <w:szCs w:val="20"/>
                <w:vertAlign w:val="superscript"/>
              </w:rPr>
              <w:endnoteReference w:id="6"/>
            </w:r>
            <w:bookmarkEnd w:id="11"/>
            <w:bookmarkEnd w:id="12"/>
          </w:p>
        </w:tc>
      </w:tr>
      <w:tr w:rsidR="002208B3" w:rsidRPr="00A55DD1" w14:paraId="393A08AD" w14:textId="77777777" w:rsidTr="00783DAC">
        <w:trPr>
          <w:trHeight w:val="465"/>
        </w:trPr>
        <w:tc>
          <w:tcPr>
            <w:tcW w:w="4161" w:type="dxa"/>
            <w:shd w:val="pct20" w:color="000000" w:fill="FFFFFF"/>
          </w:tcPr>
          <w:p w14:paraId="393A08AB" w14:textId="77777777" w:rsidR="002208B3" w:rsidRPr="00610FC6" w:rsidRDefault="002208B3" w:rsidP="0028709C">
            <w:pPr>
              <w:rPr>
                <w:rStyle w:val="Strong"/>
              </w:rPr>
            </w:pPr>
            <w:r w:rsidRPr="00610FC6">
              <w:rPr>
                <w:rStyle w:val="Strong"/>
              </w:rPr>
              <w:t>Gross Measure Cost ($/unit)</w:t>
            </w:r>
          </w:p>
        </w:tc>
        <w:tc>
          <w:tcPr>
            <w:tcW w:w="5487" w:type="dxa"/>
            <w:shd w:val="pct20" w:color="000000" w:fill="FFFFFF"/>
          </w:tcPr>
          <w:p w14:paraId="393A08AC" w14:textId="2AAB733A" w:rsidR="002208B3" w:rsidRPr="00A55DD1" w:rsidRDefault="003339E5" w:rsidP="0028709C">
            <w:pPr>
              <w:rPr>
                <w:rFonts w:cs="Arial"/>
                <w:sz w:val="20"/>
                <w:szCs w:val="20"/>
              </w:rPr>
            </w:pPr>
            <w:r>
              <w:rPr>
                <w:rFonts w:cs="Arial"/>
                <w:sz w:val="20"/>
                <w:szCs w:val="20"/>
              </w:rPr>
              <w:t>Source: DEER2014 – D03-051 and DEER 2008 for 09-11 Planning and Reporting (Measure equipment cost varies by climate zone)</w:t>
            </w:r>
            <w:r w:rsidRPr="00E63F5F">
              <w:rPr>
                <w:vertAlign w:val="superscript"/>
              </w:rPr>
              <w:t xml:space="preserve"> </w:t>
            </w:r>
            <w:r w:rsidRPr="00E63F5F">
              <w:rPr>
                <w:vertAlign w:val="superscript"/>
              </w:rPr>
              <w:fldChar w:fldCharType="begin"/>
            </w:r>
            <w:r w:rsidRPr="00E63F5F">
              <w:rPr>
                <w:vertAlign w:val="superscript"/>
              </w:rPr>
              <w:instrText xml:space="preserve"> NOTEREF _Ref190835248 \f \h  \* MERGEFORMAT </w:instrText>
            </w:r>
            <w:r w:rsidRPr="00E63F5F">
              <w:rPr>
                <w:vertAlign w:val="superscript"/>
              </w:rPr>
            </w:r>
            <w:r w:rsidRPr="00E63F5F">
              <w:rPr>
                <w:vertAlign w:val="superscript"/>
              </w:rPr>
              <w:fldChar w:fldCharType="separate"/>
            </w:r>
            <w:r w:rsidRPr="006C5B14">
              <w:rPr>
                <w:vertAlign w:val="superscript"/>
              </w:rPr>
              <w:t>3</w:t>
            </w:r>
            <w:r w:rsidRPr="00E63F5F">
              <w:rPr>
                <w:vertAlign w:val="superscript"/>
              </w:rPr>
              <w:fldChar w:fldCharType="end"/>
            </w:r>
            <w:r w:rsidRPr="001C23D0">
              <w:rPr>
                <w:position w:val="6"/>
                <w:sz w:val="20"/>
                <w:szCs w:val="20"/>
              </w:rPr>
              <w:t>,</w:t>
            </w:r>
            <w:r w:rsidRPr="00F847B7">
              <w:rPr>
                <w:sz w:val="20"/>
                <w:szCs w:val="20"/>
                <w:vertAlign w:val="superscript"/>
              </w:rPr>
              <w:fldChar w:fldCharType="begin"/>
            </w:r>
            <w:r w:rsidRPr="00F847B7">
              <w:rPr>
                <w:sz w:val="20"/>
                <w:szCs w:val="20"/>
                <w:vertAlign w:val="superscript"/>
              </w:rPr>
              <w:instrText xml:space="preserve"> NOTEREF _Ref327541127 \h  \* MERGEFORMAT </w:instrText>
            </w:r>
            <w:r w:rsidRPr="00F847B7">
              <w:rPr>
                <w:sz w:val="20"/>
                <w:szCs w:val="20"/>
                <w:vertAlign w:val="superscript"/>
              </w:rPr>
            </w:r>
            <w:r w:rsidRPr="00F847B7">
              <w:rPr>
                <w:sz w:val="20"/>
                <w:szCs w:val="20"/>
                <w:vertAlign w:val="superscript"/>
              </w:rPr>
              <w:fldChar w:fldCharType="separate"/>
            </w:r>
            <w:r>
              <w:rPr>
                <w:sz w:val="20"/>
                <w:szCs w:val="20"/>
                <w:vertAlign w:val="superscript"/>
              </w:rPr>
              <w:t>4</w:t>
            </w:r>
            <w:r w:rsidRPr="00F847B7">
              <w:rPr>
                <w:sz w:val="20"/>
                <w:szCs w:val="20"/>
                <w:vertAlign w:val="superscript"/>
              </w:rPr>
              <w:fldChar w:fldCharType="end"/>
            </w:r>
            <w:r>
              <w:rPr>
                <w:sz w:val="20"/>
                <w:szCs w:val="20"/>
                <w:vertAlign w:val="superscript"/>
              </w:rPr>
              <w:t>,</w:t>
            </w:r>
            <w:r>
              <w:rPr>
                <w:sz w:val="20"/>
                <w:szCs w:val="20"/>
                <w:vertAlign w:val="superscript"/>
              </w:rPr>
              <w:fldChar w:fldCharType="begin"/>
            </w:r>
            <w:r>
              <w:rPr>
                <w:sz w:val="20"/>
                <w:szCs w:val="20"/>
                <w:vertAlign w:val="superscript"/>
              </w:rPr>
              <w:instrText xml:space="preserve"> NOTEREF _Ref327541162 \h </w:instrText>
            </w:r>
            <w:r>
              <w:rPr>
                <w:sz w:val="20"/>
                <w:szCs w:val="20"/>
                <w:vertAlign w:val="superscript"/>
              </w:rPr>
            </w:r>
            <w:r>
              <w:rPr>
                <w:sz w:val="20"/>
                <w:szCs w:val="20"/>
                <w:vertAlign w:val="superscript"/>
              </w:rPr>
              <w:fldChar w:fldCharType="separate"/>
            </w:r>
            <w:r>
              <w:rPr>
                <w:sz w:val="20"/>
                <w:szCs w:val="20"/>
                <w:vertAlign w:val="superscript"/>
              </w:rPr>
              <w:t>5</w:t>
            </w:r>
            <w:r>
              <w:rPr>
                <w:sz w:val="20"/>
                <w:szCs w:val="20"/>
                <w:vertAlign w:val="superscript"/>
              </w:rPr>
              <w:fldChar w:fldCharType="end"/>
            </w:r>
            <w:r>
              <w:rPr>
                <w:sz w:val="20"/>
                <w:szCs w:val="20"/>
                <w:vertAlign w:val="superscript"/>
              </w:rPr>
              <w:t>,</w:t>
            </w:r>
            <w:r w:rsidRPr="001423C6">
              <w:rPr>
                <w:sz w:val="20"/>
                <w:szCs w:val="20"/>
                <w:vertAlign w:val="superscript"/>
              </w:rPr>
              <w:t xml:space="preserve"> </w:t>
            </w:r>
            <w:r w:rsidRPr="001423C6">
              <w:rPr>
                <w:sz w:val="20"/>
                <w:szCs w:val="20"/>
                <w:vertAlign w:val="superscript"/>
              </w:rPr>
              <w:endnoteReference w:id="7"/>
            </w:r>
          </w:p>
        </w:tc>
      </w:tr>
      <w:tr w:rsidR="002208B3" w:rsidRPr="00A55DD1" w14:paraId="393A08B2" w14:textId="77777777" w:rsidTr="00783DAC">
        <w:trPr>
          <w:trHeight w:val="465"/>
        </w:trPr>
        <w:tc>
          <w:tcPr>
            <w:tcW w:w="4161" w:type="dxa"/>
            <w:shd w:val="pct20" w:color="000000" w:fill="FFFFFF"/>
          </w:tcPr>
          <w:p w14:paraId="393A08AE" w14:textId="77777777" w:rsidR="002208B3" w:rsidRPr="00610FC6" w:rsidRDefault="002208B3" w:rsidP="0028709C">
            <w:pPr>
              <w:rPr>
                <w:rStyle w:val="Strong"/>
              </w:rPr>
            </w:pPr>
            <w:r w:rsidRPr="00610FC6">
              <w:rPr>
                <w:rStyle w:val="Strong"/>
              </w:rPr>
              <w:t xml:space="preserve">Measure Incremental Cost ($/unit): </w:t>
            </w:r>
          </w:p>
        </w:tc>
        <w:tc>
          <w:tcPr>
            <w:tcW w:w="5487" w:type="dxa"/>
            <w:shd w:val="pct20" w:color="000000" w:fill="FFFFFF"/>
          </w:tcPr>
          <w:p w14:paraId="393A08B1" w14:textId="03A6E718" w:rsidR="002208B3" w:rsidRPr="00A55DD1" w:rsidRDefault="002208B3" w:rsidP="0028709C">
            <w:pPr>
              <w:rPr>
                <w:rFonts w:cs="Arial"/>
                <w:sz w:val="20"/>
                <w:szCs w:val="20"/>
              </w:rPr>
            </w:pPr>
            <w:r>
              <w:rPr>
                <w:rFonts w:cs="Arial"/>
                <w:sz w:val="20"/>
                <w:szCs w:val="20"/>
              </w:rPr>
              <w:t>Source: DEER2014 – D03-051 and DEER 2008 for 09-11 Planning and Reporting (Measure equipment cost varies by climate zone)</w:t>
            </w:r>
            <w:r w:rsidRPr="00E63F5F">
              <w:rPr>
                <w:vertAlign w:val="superscript"/>
              </w:rPr>
              <w:t xml:space="preserve"> </w:t>
            </w:r>
            <w:r w:rsidRPr="00E63F5F">
              <w:rPr>
                <w:vertAlign w:val="superscript"/>
              </w:rPr>
              <w:fldChar w:fldCharType="begin"/>
            </w:r>
            <w:r w:rsidRPr="00E63F5F">
              <w:rPr>
                <w:vertAlign w:val="superscript"/>
              </w:rPr>
              <w:instrText xml:space="preserve"> NOTEREF _Ref190835248 \f \h  \* MERGEFORMAT </w:instrText>
            </w:r>
            <w:r w:rsidRPr="00E63F5F">
              <w:rPr>
                <w:vertAlign w:val="superscript"/>
              </w:rPr>
            </w:r>
            <w:r w:rsidRPr="00E63F5F">
              <w:rPr>
                <w:vertAlign w:val="superscript"/>
              </w:rPr>
              <w:fldChar w:fldCharType="separate"/>
            </w:r>
            <w:r w:rsidRPr="006C5B14">
              <w:rPr>
                <w:vertAlign w:val="superscript"/>
              </w:rPr>
              <w:t>3</w:t>
            </w:r>
            <w:r w:rsidRPr="00E63F5F">
              <w:rPr>
                <w:vertAlign w:val="superscript"/>
              </w:rPr>
              <w:fldChar w:fldCharType="end"/>
            </w:r>
            <w:r w:rsidRPr="001C23D0">
              <w:rPr>
                <w:position w:val="6"/>
                <w:sz w:val="20"/>
                <w:szCs w:val="20"/>
              </w:rPr>
              <w:t>,</w:t>
            </w:r>
            <w:r w:rsidRPr="00F847B7">
              <w:rPr>
                <w:sz w:val="20"/>
                <w:szCs w:val="20"/>
                <w:vertAlign w:val="superscript"/>
              </w:rPr>
              <w:fldChar w:fldCharType="begin"/>
            </w:r>
            <w:r w:rsidRPr="00F847B7">
              <w:rPr>
                <w:sz w:val="20"/>
                <w:szCs w:val="20"/>
                <w:vertAlign w:val="superscript"/>
              </w:rPr>
              <w:instrText xml:space="preserve"> NOTEREF _Ref327541127 \h  \* MERGEFORMAT </w:instrText>
            </w:r>
            <w:r w:rsidRPr="00F847B7">
              <w:rPr>
                <w:sz w:val="20"/>
                <w:szCs w:val="20"/>
                <w:vertAlign w:val="superscript"/>
              </w:rPr>
            </w:r>
            <w:r w:rsidRPr="00F847B7">
              <w:rPr>
                <w:sz w:val="20"/>
                <w:szCs w:val="20"/>
                <w:vertAlign w:val="superscript"/>
              </w:rPr>
              <w:fldChar w:fldCharType="separate"/>
            </w:r>
            <w:r>
              <w:rPr>
                <w:sz w:val="20"/>
                <w:szCs w:val="20"/>
                <w:vertAlign w:val="superscript"/>
              </w:rPr>
              <w:t>4</w:t>
            </w:r>
            <w:r w:rsidRPr="00F847B7">
              <w:rPr>
                <w:sz w:val="20"/>
                <w:szCs w:val="20"/>
                <w:vertAlign w:val="superscript"/>
              </w:rPr>
              <w:fldChar w:fldCharType="end"/>
            </w:r>
            <w:r>
              <w:rPr>
                <w:sz w:val="20"/>
                <w:szCs w:val="20"/>
                <w:vertAlign w:val="superscript"/>
              </w:rPr>
              <w:t>,</w:t>
            </w:r>
            <w:r>
              <w:rPr>
                <w:sz w:val="20"/>
                <w:szCs w:val="20"/>
                <w:vertAlign w:val="superscript"/>
              </w:rPr>
              <w:fldChar w:fldCharType="begin"/>
            </w:r>
            <w:r>
              <w:rPr>
                <w:sz w:val="20"/>
                <w:szCs w:val="20"/>
                <w:vertAlign w:val="superscript"/>
              </w:rPr>
              <w:instrText xml:space="preserve"> NOTEREF _Ref327541162 \h </w:instrText>
            </w:r>
            <w:r>
              <w:rPr>
                <w:sz w:val="20"/>
                <w:szCs w:val="20"/>
                <w:vertAlign w:val="superscript"/>
              </w:rPr>
            </w:r>
            <w:r>
              <w:rPr>
                <w:sz w:val="20"/>
                <w:szCs w:val="20"/>
                <w:vertAlign w:val="superscript"/>
              </w:rPr>
              <w:fldChar w:fldCharType="separate"/>
            </w:r>
            <w:r>
              <w:rPr>
                <w:sz w:val="20"/>
                <w:szCs w:val="20"/>
                <w:vertAlign w:val="superscript"/>
              </w:rPr>
              <w:t>5</w:t>
            </w:r>
            <w:r>
              <w:rPr>
                <w:sz w:val="20"/>
                <w:szCs w:val="20"/>
                <w:vertAlign w:val="superscript"/>
              </w:rPr>
              <w:fldChar w:fldCharType="end"/>
            </w:r>
            <w:r>
              <w:rPr>
                <w:sz w:val="20"/>
                <w:szCs w:val="20"/>
                <w:vertAlign w:val="superscript"/>
              </w:rPr>
              <w:t>,</w:t>
            </w:r>
            <w:r w:rsidRPr="001423C6">
              <w:rPr>
                <w:sz w:val="20"/>
                <w:szCs w:val="20"/>
                <w:vertAlign w:val="superscript"/>
              </w:rPr>
              <w:t xml:space="preserve"> </w:t>
            </w:r>
            <w:r w:rsidRPr="001423C6">
              <w:rPr>
                <w:sz w:val="20"/>
                <w:szCs w:val="20"/>
                <w:vertAlign w:val="superscript"/>
              </w:rPr>
              <w:endnoteReference w:id="8"/>
            </w:r>
          </w:p>
        </w:tc>
      </w:tr>
      <w:tr w:rsidR="002208B3" w:rsidRPr="00A55DD1" w14:paraId="393A08B5" w14:textId="77777777" w:rsidTr="00783DAC">
        <w:trPr>
          <w:trHeight w:val="465"/>
        </w:trPr>
        <w:tc>
          <w:tcPr>
            <w:tcW w:w="4161" w:type="dxa"/>
            <w:shd w:val="pct5" w:color="000000" w:fill="FFFFFF"/>
          </w:tcPr>
          <w:p w14:paraId="393A08B3" w14:textId="77777777" w:rsidR="002208B3" w:rsidRPr="00610FC6" w:rsidRDefault="002208B3" w:rsidP="0028709C">
            <w:pPr>
              <w:rPr>
                <w:rStyle w:val="Strong"/>
              </w:rPr>
            </w:pPr>
            <w:r w:rsidRPr="00610FC6">
              <w:rPr>
                <w:rStyle w:val="Strong"/>
              </w:rPr>
              <w:t xml:space="preserve">Effective Useful Life (years): </w:t>
            </w:r>
          </w:p>
        </w:tc>
        <w:tc>
          <w:tcPr>
            <w:tcW w:w="5487" w:type="dxa"/>
            <w:shd w:val="pct5" w:color="000000" w:fill="FFFFFF"/>
          </w:tcPr>
          <w:p w14:paraId="34284EAB" w14:textId="77777777" w:rsidR="002208B3" w:rsidRDefault="002208B3" w:rsidP="002208B3">
            <w:pPr>
              <w:rPr>
                <w:rFonts w:cs="Arial"/>
                <w:sz w:val="20"/>
                <w:szCs w:val="20"/>
              </w:rPr>
            </w:pPr>
            <w:r w:rsidRPr="00A55DD1">
              <w:rPr>
                <w:rFonts w:cs="Arial"/>
                <w:sz w:val="20"/>
                <w:szCs w:val="20"/>
              </w:rPr>
              <w:t>Source:</w:t>
            </w:r>
            <w:r>
              <w:rPr>
                <w:rFonts w:cs="Arial"/>
                <w:sz w:val="20"/>
                <w:szCs w:val="20"/>
              </w:rPr>
              <w:t xml:space="preserve"> EUL Values from DEER2014</w:t>
            </w:r>
          </w:p>
          <w:p w14:paraId="393A08B4" w14:textId="350C3F35" w:rsidR="002208B3" w:rsidRPr="00A55DD1" w:rsidRDefault="002208B3" w:rsidP="002208B3">
            <w:pPr>
              <w:rPr>
                <w:rFonts w:cs="Arial"/>
                <w:sz w:val="20"/>
                <w:szCs w:val="20"/>
              </w:rPr>
            </w:pPr>
            <w:r>
              <w:rPr>
                <w:rFonts w:cs="Arial"/>
                <w:sz w:val="20"/>
                <w:szCs w:val="20"/>
              </w:rPr>
              <w:t>15 years</w:t>
            </w:r>
            <w:bookmarkStart w:id="13" w:name="_Ref190682948"/>
            <w:r w:rsidRPr="009839DD">
              <w:rPr>
                <w:rStyle w:val="EndnoteReference"/>
                <w:sz w:val="20"/>
                <w:szCs w:val="20"/>
              </w:rPr>
              <w:endnoteReference w:id="9"/>
            </w:r>
            <w:bookmarkEnd w:id="13"/>
          </w:p>
        </w:tc>
      </w:tr>
      <w:tr w:rsidR="002208B3" w:rsidRPr="00A55DD1" w14:paraId="393A08B8" w14:textId="77777777" w:rsidTr="00783DAC">
        <w:trPr>
          <w:trHeight w:val="465"/>
        </w:trPr>
        <w:tc>
          <w:tcPr>
            <w:tcW w:w="4161" w:type="dxa"/>
            <w:shd w:val="pct20" w:color="000000" w:fill="FFFFFF"/>
          </w:tcPr>
          <w:p w14:paraId="393A08B6" w14:textId="095EB2BE" w:rsidR="002208B3" w:rsidRPr="00610FC6" w:rsidRDefault="002208B3" w:rsidP="0028709C">
            <w:pPr>
              <w:rPr>
                <w:rStyle w:val="Strong"/>
              </w:rPr>
            </w:pPr>
            <w:r>
              <w:rPr>
                <w:rStyle w:val="Strong"/>
              </w:rPr>
              <w:t>Measure Application Type</w:t>
            </w:r>
            <w:r w:rsidRPr="00610FC6">
              <w:rPr>
                <w:rStyle w:val="Strong"/>
              </w:rPr>
              <w:t>:</w:t>
            </w:r>
          </w:p>
        </w:tc>
        <w:tc>
          <w:tcPr>
            <w:tcW w:w="5487" w:type="dxa"/>
            <w:shd w:val="pct20" w:color="000000" w:fill="FFFFFF"/>
          </w:tcPr>
          <w:p w14:paraId="393A08B7" w14:textId="6EAFFC3F" w:rsidR="002208B3" w:rsidRPr="00A55DD1" w:rsidRDefault="002208B3" w:rsidP="00895837">
            <w:pPr>
              <w:rPr>
                <w:rFonts w:cs="Arial"/>
                <w:sz w:val="20"/>
                <w:szCs w:val="20"/>
              </w:rPr>
            </w:pPr>
            <w:r>
              <w:rPr>
                <w:rFonts w:cs="Arial"/>
                <w:sz w:val="20"/>
                <w:szCs w:val="20"/>
              </w:rPr>
              <w:t>R</w:t>
            </w:r>
            <w:r w:rsidR="00895837">
              <w:rPr>
                <w:rFonts w:cs="Arial"/>
                <w:sz w:val="20"/>
                <w:szCs w:val="20"/>
              </w:rPr>
              <w:t>etrofit Add On (REA</w:t>
            </w:r>
            <w:r>
              <w:rPr>
                <w:rFonts w:cs="Arial"/>
                <w:sz w:val="20"/>
                <w:szCs w:val="20"/>
              </w:rPr>
              <w:t>)</w:t>
            </w:r>
          </w:p>
        </w:tc>
      </w:tr>
      <w:tr w:rsidR="002208B3" w:rsidRPr="00A55DD1" w14:paraId="393A08BB" w14:textId="77777777" w:rsidTr="00783DAC">
        <w:trPr>
          <w:trHeight w:val="465"/>
        </w:trPr>
        <w:tc>
          <w:tcPr>
            <w:tcW w:w="4161" w:type="dxa"/>
            <w:shd w:val="pct5" w:color="000000" w:fill="FFFFFF"/>
          </w:tcPr>
          <w:p w14:paraId="393A08B9" w14:textId="77777777" w:rsidR="002208B3" w:rsidRPr="00610FC6" w:rsidRDefault="002208B3" w:rsidP="0028709C">
            <w:pPr>
              <w:rPr>
                <w:rStyle w:val="Strong"/>
              </w:rPr>
            </w:pPr>
            <w:r w:rsidRPr="00610FC6">
              <w:rPr>
                <w:rStyle w:val="Strong"/>
              </w:rPr>
              <w:t xml:space="preserve">Net-to-Gross Ratios: </w:t>
            </w:r>
          </w:p>
        </w:tc>
        <w:tc>
          <w:tcPr>
            <w:tcW w:w="5487" w:type="dxa"/>
            <w:shd w:val="pct5" w:color="000000" w:fill="FFFFFF"/>
          </w:tcPr>
          <w:p w14:paraId="67CF0E72" w14:textId="37F48EC8" w:rsidR="002208B3" w:rsidRPr="007A2DC8" w:rsidRDefault="002208B3" w:rsidP="002208B3">
            <w:pPr>
              <w:rPr>
                <w:rFonts w:cs="Arial"/>
                <w:sz w:val="20"/>
                <w:szCs w:val="20"/>
              </w:rPr>
            </w:pPr>
            <w:r w:rsidRPr="007A2DC8">
              <w:rPr>
                <w:rFonts w:cs="Arial"/>
                <w:sz w:val="20"/>
                <w:szCs w:val="20"/>
              </w:rPr>
              <w:t xml:space="preserve">Source: </w:t>
            </w:r>
            <w:r w:rsidR="00C33C6B">
              <w:rPr>
                <w:rFonts w:cs="Arial"/>
                <w:sz w:val="20"/>
                <w:szCs w:val="20"/>
              </w:rPr>
              <w:t>DEER 2014, READI version 1.0.5</w:t>
            </w:r>
          </w:p>
          <w:p w14:paraId="393A08BA" w14:textId="756AE34C" w:rsidR="00073A54" w:rsidRPr="00CE5B0E" w:rsidRDefault="007A2DC8" w:rsidP="002208B3">
            <w:pPr>
              <w:rPr>
                <w:sz w:val="20"/>
                <w:szCs w:val="20"/>
              </w:rPr>
            </w:pPr>
            <w:r>
              <w:rPr>
                <w:sz w:val="20"/>
                <w:szCs w:val="20"/>
              </w:rPr>
              <w:t xml:space="preserve">NTG = </w:t>
            </w:r>
            <w:r w:rsidR="002208B3" w:rsidRPr="007A2DC8">
              <w:rPr>
                <w:sz w:val="20"/>
                <w:szCs w:val="20"/>
              </w:rPr>
              <w:t>0.60</w:t>
            </w:r>
            <w:bookmarkStart w:id="14" w:name="_Ref327361296"/>
            <w:r w:rsidR="002208B3" w:rsidRPr="007A2DC8">
              <w:rPr>
                <w:rStyle w:val="EndnoteReference"/>
                <w:sz w:val="20"/>
                <w:szCs w:val="20"/>
              </w:rPr>
              <w:endnoteReference w:id="10"/>
            </w:r>
            <w:bookmarkEnd w:id="14"/>
            <w:r w:rsidRPr="007A2DC8">
              <w:rPr>
                <w:sz w:val="20"/>
                <w:szCs w:val="20"/>
              </w:rPr>
              <w:t xml:space="preserve"> Com-Default&gt;2yrs index 47</w:t>
            </w:r>
          </w:p>
        </w:tc>
      </w:tr>
      <w:tr w:rsidR="002208B3" w:rsidRPr="00A55DD1" w14:paraId="393A08BE" w14:textId="77777777" w:rsidTr="00783DAC">
        <w:trPr>
          <w:trHeight w:val="465"/>
        </w:trPr>
        <w:tc>
          <w:tcPr>
            <w:tcW w:w="4161" w:type="dxa"/>
            <w:shd w:val="pct20" w:color="000000" w:fill="FFFFFF"/>
          </w:tcPr>
          <w:p w14:paraId="393A08BC" w14:textId="5F8F8DF0" w:rsidR="002208B3" w:rsidRPr="00610FC6" w:rsidRDefault="002208B3" w:rsidP="0028709C">
            <w:pPr>
              <w:rPr>
                <w:rStyle w:val="Strong"/>
              </w:rPr>
            </w:pPr>
            <w:r w:rsidRPr="00610FC6">
              <w:rPr>
                <w:rStyle w:val="Strong"/>
              </w:rPr>
              <w:t>Important Comments:</w:t>
            </w:r>
          </w:p>
        </w:tc>
        <w:tc>
          <w:tcPr>
            <w:tcW w:w="5487" w:type="dxa"/>
            <w:shd w:val="pct20" w:color="000000" w:fill="FFFFFF"/>
          </w:tcPr>
          <w:p w14:paraId="393A08BD" w14:textId="77777777" w:rsidR="002208B3" w:rsidRPr="00A55DD1" w:rsidRDefault="002208B3" w:rsidP="0028709C">
            <w:pPr>
              <w:rPr>
                <w:rFonts w:cs="Arial"/>
                <w:sz w:val="20"/>
                <w:szCs w:val="20"/>
              </w:rPr>
            </w:pPr>
          </w:p>
        </w:tc>
      </w:tr>
    </w:tbl>
    <w:p w14:paraId="49A15817" w14:textId="7C7C4A4C" w:rsidR="00530C91" w:rsidRDefault="00530C91" w:rsidP="00EE4C9D">
      <w:pPr>
        <w:pStyle w:val="Header"/>
        <w:sectPr w:rsidR="00530C91" w:rsidSect="003545ED">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code="1"/>
          <w:pgMar w:top="720" w:right="1440" w:bottom="1440" w:left="1440" w:header="720" w:footer="720" w:gutter="0"/>
          <w:pgNumType w:fmt="lowerRoman" w:start="1"/>
          <w:cols w:space="720"/>
          <w:docGrid w:linePitch="360"/>
        </w:sectPr>
      </w:pPr>
    </w:p>
    <w:p w14:paraId="4FF1DA06" w14:textId="77777777" w:rsidR="00AB723D" w:rsidRDefault="00AB723D" w:rsidP="00AB723D">
      <w:pPr>
        <w:pStyle w:val="Heading1"/>
      </w:pPr>
      <w:bookmarkStart w:id="15" w:name="_Toc342311739"/>
      <w:bookmarkStart w:id="16" w:name="_Toc386699708"/>
      <w:r>
        <w:lastRenderedPageBreak/>
        <w:t>Work Paper Approvals</w:t>
      </w:r>
      <w:bookmarkEnd w:id="15"/>
      <w:bookmarkEnd w:id="16"/>
    </w:p>
    <w:p w14:paraId="0C45EB21" w14:textId="77777777" w:rsidR="00AB723D" w:rsidRDefault="00AB723D" w:rsidP="00AB723D">
      <w:pPr>
        <w:rPr>
          <w:rFonts w:eastAsiaTheme="minorHAnsi"/>
        </w:rPr>
      </w:pPr>
      <w:r>
        <w:t xml:space="preserve">The following Manager(s) approved this </w:t>
      </w:r>
      <w:proofErr w:type="spellStart"/>
      <w:r>
        <w:t>workpaper</w:t>
      </w:r>
      <w:proofErr w:type="spellEnd"/>
      <w:r>
        <w:t xml:space="preserve">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5D10C558" w:rsidR="00AB723D" w:rsidRDefault="00EC6E7B">
            <w:pPr>
              <w:rPr>
                <w:b/>
                <w:bCs/>
              </w:rPr>
            </w:pPr>
            <w:r>
              <w:rPr>
                <w:b/>
                <w:bCs/>
              </w:rPr>
              <w:t>Carolyn Weiner</w:t>
            </w:r>
          </w:p>
          <w:p w14:paraId="6FFCDF13" w14:textId="3F116EB1" w:rsidR="00AB723D" w:rsidRDefault="00AB723D">
            <w:r>
              <w:t xml:space="preserve">Manager, </w:t>
            </w:r>
            <w:r w:rsidR="00EC6E7B">
              <w:t>Core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7" w:name="_Toc304800196"/>
      <w:bookmarkStart w:id="18" w:name="_Toc324318333"/>
      <w:bookmarkStart w:id="19" w:name="_Toc324340477"/>
      <w:bookmarkStart w:id="20" w:name="_Toc386699709"/>
      <w:r w:rsidR="00E71EF1">
        <w:lastRenderedPageBreak/>
        <w:t>Document Revision History</w:t>
      </w:r>
      <w:bookmarkEnd w:id="17"/>
      <w:bookmarkEnd w:id="18"/>
      <w:bookmarkEnd w:id="19"/>
      <w:bookmarkEnd w:id="20"/>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A01E86">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80"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A01E86" w:rsidRPr="00783DAC" w14:paraId="393A0A64" w14:textId="77777777" w:rsidTr="00A01E86">
        <w:trPr>
          <w:trHeight w:val="464"/>
        </w:trPr>
        <w:tc>
          <w:tcPr>
            <w:tcW w:w="858" w:type="pct"/>
            <w:tcBorders>
              <w:top w:val="single" w:sz="18" w:space="0" w:color="FFFFFF"/>
            </w:tcBorders>
            <w:shd w:val="pct20" w:color="000000" w:fill="FFFFFF"/>
          </w:tcPr>
          <w:p w14:paraId="393A0A60" w14:textId="77E27C0D" w:rsidR="00A01E86" w:rsidRPr="00783DAC" w:rsidRDefault="00A01E86" w:rsidP="008948E0">
            <w:pPr>
              <w:rPr>
                <w:b/>
                <w:bCs/>
              </w:rPr>
            </w:pPr>
            <w:r w:rsidRPr="009839DD">
              <w:rPr>
                <w:b/>
                <w:bCs/>
              </w:rPr>
              <w:t>Revision 0</w:t>
            </w:r>
          </w:p>
        </w:tc>
        <w:tc>
          <w:tcPr>
            <w:tcW w:w="783" w:type="pct"/>
            <w:tcBorders>
              <w:top w:val="single" w:sz="18" w:space="0" w:color="FFFFFF"/>
            </w:tcBorders>
            <w:shd w:val="pct20" w:color="000000" w:fill="FFFFFF"/>
          </w:tcPr>
          <w:p w14:paraId="393A0A61" w14:textId="029EB3C7" w:rsidR="00A01E86" w:rsidRPr="00783DAC" w:rsidRDefault="00A01E86" w:rsidP="008948E0">
            <w:pPr>
              <w:rPr>
                <w:b/>
                <w:bCs/>
                <w:sz w:val="20"/>
                <w:szCs w:val="20"/>
                <w:highlight w:val="yellow"/>
              </w:rPr>
            </w:pPr>
            <w:r w:rsidRPr="009839DD">
              <w:rPr>
                <w:b/>
                <w:bCs/>
                <w:sz w:val="20"/>
                <w:szCs w:val="20"/>
              </w:rPr>
              <w:t>0</w:t>
            </w:r>
            <w:r>
              <w:rPr>
                <w:b/>
                <w:bCs/>
                <w:sz w:val="20"/>
                <w:szCs w:val="20"/>
              </w:rPr>
              <w:t>4</w:t>
            </w:r>
            <w:r w:rsidRPr="009839DD">
              <w:rPr>
                <w:b/>
                <w:bCs/>
                <w:sz w:val="20"/>
                <w:szCs w:val="20"/>
              </w:rPr>
              <w:t>/</w:t>
            </w:r>
            <w:r>
              <w:rPr>
                <w:b/>
                <w:bCs/>
                <w:sz w:val="20"/>
                <w:szCs w:val="20"/>
              </w:rPr>
              <w:t>11</w:t>
            </w:r>
            <w:r w:rsidRPr="009839DD">
              <w:rPr>
                <w:b/>
                <w:bCs/>
                <w:sz w:val="20"/>
                <w:szCs w:val="20"/>
              </w:rPr>
              <w:t>/08</w:t>
            </w:r>
          </w:p>
        </w:tc>
        <w:tc>
          <w:tcPr>
            <w:tcW w:w="1680" w:type="pct"/>
            <w:tcBorders>
              <w:top w:val="single" w:sz="18" w:space="0" w:color="FFFFFF"/>
            </w:tcBorders>
            <w:shd w:val="pct20" w:color="000000" w:fill="FFFFFF"/>
          </w:tcPr>
          <w:p w14:paraId="0CB7EECA" w14:textId="77777777" w:rsidR="00A01E86" w:rsidRPr="009839DD" w:rsidRDefault="00A01E86" w:rsidP="00F81A41">
            <w:pPr>
              <w:rPr>
                <w:b/>
                <w:bCs/>
                <w:sz w:val="20"/>
                <w:szCs w:val="20"/>
              </w:rPr>
            </w:pPr>
            <w:r w:rsidRPr="009839DD">
              <w:rPr>
                <w:b/>
                <w:bCs/>
                <w:sz w:val="20"/>
                <w:szCs w:val="20"/>
              </w:rPr>
              <w:t>Original work paper:</w:t>
            </w:r>
          </w:p>
          <w:p w14:paraId="393A0A62" w14:textId="075080D8" w:rsidR="00A01E86" w:rsidRPr="00783DAC" w:rsidRDefault="00A01E86" w:rsidP="008948E0">
            <w:pPr>
              <w:rPr>
                <w:b/>
                <w:bCs/>
                <w:sz w:val="20"/>
                <w:szCs w:val="20"/>
              </w:rPr>
            </w:pPr>
            <w:r w:rsidRPr="009839DD">
              <w:rPr>
                <w:b/>
                <w:bCs/>
                <w:sz w:val="20"/>
                <w:szCs w:val="20"/>
              </w:rPr>
              <w:t xml:space="preserve">VFDs for </w:t>
            </w:r>
            <w:r>
              <w:rPr>
                <w:b/>
                <w:bCs/>
                <w:sz w:val="20"/>
                <w:szCs w:val="20"/>
              </w:rPr>
              <w:t xml:space="preserve">HVAC </w:t>
            </w:r>
            <w:r w:rsidRPr="009839DD">
              <w:rPr>
                <w:b/>
                <w:bCs/>
                <w:sz w:val="20"/>
                <w:szCs w:val="20"/>
              </w:rPr>
              <w:t>Fans PGECOHVC106</w:t>
            </w:r>
            <w:r>
              <w:rPr>
                <w:b/>
                <w:bCs/>
                <w:sz w:val="20"/>
                <w:szCs w:val="20"/>
              </w:rPr>
              <w:t xml:space="preserve"> R0.doc</w:t>
            </w:r>
          </w:p>
        </w:tc>
        <w:tc>
          <w:tcPr>
            <w:tcW w:w="1680" w:type="pct"/>
            <w:tcBorders>
              <w:top w:val="single" w:sz="18" w:space="0" w:color="FFFFFF"/>
            </w:tcBorders>
            <w:shd w:val="pct20" w:color="000000" w:fill="FFFFFF"/>
          </w:tcPr>
          <w:p w14:paraId="393A0A63" w14:textId="59FB495E" w:rsidR="00A01E86" w:rsidRPr="00783DAC" w:rsidRDefault="00A01E86" w:rsidP="008948E0">
            <w:pPr>
              <w:rPr>
                <w:b/>
                <w:bCs/>
                <w:sz w:val="20"/>
                <w:szCs w:val="20"/>
              </w:rPr>
            </w:pPr>
            <w:r w:rsidRPr="009839DD">
              <w:rPr>
                <w:b/>
                <w:bCs/>
                <w:sz w:val="20"/>
                <w:szCs w:val="20"/>
              </w:rPr>
              <w:t xml:space="preserve">Sean Harleman (kW Engineering) </w:t>
            </w:r>
          </w:p>
        </w:tc>
      </w:tr>
      <w:tr w:rsidR="00A01E86" w:rsidRPr="00DE21B1" w14:paraId="393A0A69" w14:textId="77777777" w:rsidTr="00A01E86">
        <w:trPr>
          <w:trHeight w:val="464"/>
        </w:trPr>
        <w:tc>
          <w:tcPr>
            <w:tcW w:w="858" w:type="pct"/>
            <w:shd w:val="pct5" w:color="000000" w:fill="FFFFFF"/>
          </w:tcPr>
          <w:p w14:paraId="393A0A65" w14:textId="15E33CDE" w:rsidR="00A01E86" w:rsidRPr="00DE21B1" w:rsidRDefault="00A01E86" w:rsidP="008948E0">
            <w:pPr>
              <w:rPr>
                <w:b/>
              </w:rPr>
            </w:pPr>
            <w:r w:rsidRPr="008D0D38">
              <w:rPr>
                <w:b/>
              </w:rPr>
              <w:t>Revision 1</w:t>
            </w:r>
          </w:p>
        </w:tc>
        <w:tc>
          <w:tcPr>
            <w:tcW w:w="783" w:type="pct"/>
            <w:shd w:val="pct5" w:color="000000" w:fill="FFFFFF"/>
          </w:tcPr>
          <w:p w14:paraId="393A0A66" w14:textId="0880C0CE" w:rsidR="00A01E86" w:rsidRPr="005B00A6" w:rsidRDefault="00A01E86" w:rsidP="005B00A6">
            <w:pPr>
              <w:autoSpaceDE w:val="0"/>
              <w:autoSpaceDN w:val="0"/>
              <w:adjustRightInd w:val="0"/>
              <w:rPr>
                <w:b/>
                <w:sz w:val="20"/>
                <w:szCs w:val="20"/>
                <w:highlight w:val="yellow"/>
              </w:rPr>
            </w:pPr>
            <w:r>
              <w:rPr>
                <w:b/>
                <w:sz w:val="20"/>
                <w:szCs w:val="20"/>
              </w:rPr>
              <w:t>0</w:t>
            </w:r>
            <w:r w:rsidRPr="008D0D38">
              <w:rPr>
                <w:b/>
                <w:sz w:val="20"/>
                <w:szCs w:val="20"/>
              </w:rPr>
              <w:t>5/</w:t>
            </w:r>
            <w:r>
              <w:rPr>
                <w:b/>
                <w:sz w:val="20"/>
                <w:szCs w:val="20"/>
              </w:rPr>
              <w:t>0</w:t>
            </w:r>
            <w:r w:rsidRPr="008D0D38">
              <w:rPr>
                <w:b/>
                <w:sz w:val="20"/>
                <w:szCs w:val="20"/>
              </w:rPr>
              <w:t>1/09</w:t>
            </w:r>
          </w:p>
        </w:tc>
        <w:tc>
          <w:tcPr>
            <w:tcW w:w="1680" w:type="pct"/>
            <w:shd w:val="pct5" w:color="000000" w:fill="FFFFFF"/>
          </w:tcPr>
          <w:p w14:paraId="393A0A67" w14:textId="6ABD8C43" w:rsidR="00A01E86" w:rsidRPr="00DE21B1" w:rsidRDefault="00A01E86" w:rsidP="008948E0">
            <w:pPr>
              <w:rPr>
                <w:b/>
                <w:sz w:val="20"/>
                <w:szCs w:val="20"/>
              </w:rPr>
            </w:pPr>
            <w:r w:rsidRPr="008D0D38">
              <w:rPr>
                <w:b/>
                <w:bCs/>
                <w:sz w:val="20"/>
                <w:szCs w:val="20"/>
              </w:rPr>
              <w:t>VFDs for HVAC Fans PGECOHVC106 R1.doc</w:t>
            </w:r>
          </w:p>
        </w:tc>
        <w:tc>
          <w:tcPr>
            <w:tcW w:w="1680" w:type="pct"/>
            <w:shd w:val="pct5" w:color="000000" w:fill="FFFFFF"/>
          </w:tcPr>
          <w:p w14:paraId="393A0A68" w14:textId="0C9F088C" w:rsidR="00A01E86" w:rsidRPr="00DE21B1" w:rsidRDefault="00A01E86" w:rsidP="00746DDC">
            <w:pPr>
              <w:rPr>
                <w:b/>
                <w:bCs/>
                <w:sz w:val="20"/>
                <w:szCs w:val="20"/>
              </w:rPr>
            </w:pPr>
            <w:r w:rsidRPr="008D0D38">
              <w:rPr>
                <w:b/>
                <w:bCs/>
                <w:sz w:val="20"/>
                <w:szCs w:val="20"/>
              </w:rPr>
              <w:t>Tim Conroy (PG&amp;E)</w:t>
            </w:r>
          </w:p>
        </w:tc>
      </w:tr>
      <w:tr w:rsidR="00A01E86" w:rsidRPr="00DE21B1" w14:paraId="1B2AB87E" w14:textId="77777777" w:rsidTr="00A01E86">
        <w:trPr>
          <w:trHeight w:val="464"/>
        </w:trPr>
        <w:tc>
          <w:tcPr>
            <w:tcW w:w="858" w:type="pct"/>
            <w:shd w:val="clear" w:color="auto" w:fill="BFBFBF" w:themeFill="background1" w:themeFillShade="BF"/>
          </w:tcPr>
          <w:p w14:paraId="23BFDFD2" w14:textId="4C17A94B" w:rsidR="00A01E86" w:rsidRPr="00DE21B1" w:rsidRDefault="00A01E86" w:rsidP="008948E0">
            <w:pPr>
              <w:rPr>
                <w:b/>
              </w:rPr>
            </w:pPr>
            <w:r>
              <w:rPr>
                <w:b/>
              </w:rPr>
              <w:t>Revision 2</w:t>
            </w:r>
          </w:p>
        </w:tc>
        <w:tc>
          <w:tcPr>
            <w:tcW w:w="783" w:type="pct"/>
            <w:shd w:val="clear" w:color="auto" w:fill="BFBFBF" w:themeFill="background1" w:themeFillShade="BF"/>
          </w:tcPr>
          <w:p w14:paraId="12FA35D0" w14:textId="42C67232" w:rsidR="00A01E86" w:rsidRPr="00DE21B1" w:rsidRDefault="00A01E86" w:rsidP="005B00A6">
            <w:pPr>
              <w:autoSpaceDE w:val="0"/>
              <w:autoSpaceDN w:val="0"/>
              <w:adjustRightInd w:val="0"/>
              <w:rPr>
                <w:b/>
                <w:sz w:val="20"/>
                <w:szCs w:val="20"/>
                <w:highlight w:val="yellow"/>
              </w:rPr>
            </w:pPr>
            <w:r>
              <w:rPr>
                <w:b/>
                <w:sz w:val="20"/>
                <w:szCs w:val="20"/>
              </w:rPr>
              <w:t>03</w:t>
            </w:r>
            <w:r w:rsidRPr="008D0D38">
              <w:rPr>
                <w:b/>
                <w:sz w:val="20"/>
                <w:szCs w:val="20"/>
              </w:rPr>
              <w:t>/1</w:t>
            </w:r>
            <w:r>
              <w:rPr>
                <w:b/>
                <w:sz w:val="20"/>
                <w:szCs w:val="20"/>
              </w:rPr>
              <w:t>0</w:t>
            </w:r>
            <w:r w:rsidRPr="008D0D38">
              <w:rPr>
                <w:b/>
                <w:sz w:val="20"/>
                <w:szCs w:val="20"/>
              </w:rPr>
              <w:t>/</w:t>
            </w:r>
            <w:r>
              <w:rPr>
                <w:b/>
                <w:sz w:val="20"/>
                <w:szCs w:val="20"/>
              </w:rPr>
              <w:t>1</w:t>
            </w:r>
            <w:r w:rsidRPr="008D0D38">
              <w:rPr>
                <w:b/>
                <w:sz w:val="20"/>
                <w:szCs w:val="20"/>
              </w:rPr>
              <w:t>0</w:t>
            </w:r>
          </w:p>
        </w:tc>
        <w:tc>
          <w:tcPr>
            <w:tcW w:w="1680" w:type="pct"/>
            <w:shd w:val="clear" w:color="auto" w:fill="BFBFBF" w:themeFill="background1" w:themeFillShade="BF"/>
          </w:tcPr>
          <w:p w14:paraId="23EF1AB8" w14:textId="5217BABC" w:rsidR="00A01E86" w:rsidRDefault="00A01E86" w:rsidP="008948E0">
            <w:pPr>
              <w:rPr>
                <w:b/>
                <w:sz w:val="20"/>
                <w:szCs w:val="20"/>
              </w:rPr>
            </w:pPr>
            <w:r w:rsidRPr="008D0D38">
              <w:rPr>
                <w:b/>
                <w:bCs/>
                <w:sz w:val="20"/>
                <w:szCs w:val="20"/>
              </w:rPr>
              <w:t>VFDs for HVAC Fans PGECOHVC106 R</w:t>
            </w:r>
            <w:r>
              <w:rPr>
                <w:b/>
                <w:bCs/>
                <w:sz w:val="20"/>
                <w:szCs w:val="20"/>
              </w:rPr>
              <w:t>2</w:t>
            </w:r>
            <w:r w:rsidRPr="008D0D38">
              <w:rPr>
                <w:b/>
                <w:bCs/>
                <w:sz w:val="20"/>
                <w:szCs w:val="20"/>
              </w:rPr>
              <w:t>.doc</w:t>
            </w:r>
          </w:p>
        </w:tc>
        <w:tc>
          <w:tcPr>
            <w:tcW w:w="1680" w:type="pct"/>
            <w:shd w:val="clear" w:color="auto" w:fill="BFBFBF" w:themeFill="background1" w:themeFillShade="BF"/>
          </w:tcPr>
          <w:p w14:paraId="26E0DA7D" w14:textId="73639E94" w:rsidR="00A01E86" w:rsidRPr="00DE21B1" w:rsidRDefault="00A01E86" w:rsidP="00746DDC">
            <w:pPr>
              <w:rPr>
                <w:b/>
                <w:bCs/>
                <w:sz w:val="20"/>
                <w:szCs w:val="20"/>
              </w:rPr>
            </w:pPr>
            <w:r w:rsidRPr="008D0D38">
              <w:rPr>
                <w:b/>
                <w:bCs/>
                <w:sz w:val="20"/>
                <w:szCs w:val="20"/>
              </w:rPr>
              <w:t>Tim Conroy (PG&amp;E)</w:t>
            </w:r>
          </w:p>
        </w:tc>
      </w:tr>
      <w:tr w:rsidR="00A01E86" w:rsidRPr="00DE21B1" w14:paraId="10794437" w14:textId="77777777" w:rsidTr="00A01E86">
        <w:trPr>
          <w:trHeight w:val="464"/>
        </w:trPr>
        <w:tc>
          <w:tcPr>
            <w:tcW w:w="858" w:type="pct"/>
            <w:shd w:val="pct5" w:color="000000" w:fill="FFFFFF"/>
          </w:tcPr>
          <w:p w14:paraId="6517EED5" w14:textId="4FC77D44" w:rsidR="00A01E86" w:rsidRPr="00DE21B1" w:rsidRDefault="00A01E86" w:rsidP="008948E0">
            <w:pPr>
              <w:rPr>
                <w:b/>
              </w:rPr>
            </w:pPr>
            <w:r>
              <w:rPr>
                <w:b/>
              </w:rPr>
              <w:t>Revision 3</w:t>
            </w:r>
          </w:p>
        </w:tc>
        <w:tc>
          <w:tcPr>
            <w:tcW w:w="783" w:type="pct"/>
            <w:shd w:val="pct5" w:color="000000" w:fill="FFFFFF"/>
          </w:tcPr>
          <w:p w14:paraId="62325EE2" w14:textId="331D69F4" w:rsidR="00A01E86" w:rsidRPr="00DE21B1" w:rsidRDefault="00A01E86" w:rsidP="005B00A6">
            <w:pPr>
              <w:autoSpaceDE w:val="0"/>
              <w:autoSpaceDN w:val="0"/>
              <w:adjustRightInd w:val="0"/>
              <w:rPr>
                <w:b/>
                <w:sz w:val="20"/>
                <w:szCs w:val="20"/>
                <w:highlight w:val="yellow"/>
              </w:rPr>
            </w:pPr>
            <w:r>
              <w:rPr>
                <w:b/>
                <w:sz w:val="20"/>
                <w:szCs w:val="20"/>
              </w:rPr>
              <w:t>06/15/2012</w:t>
            </w:r>
          </w:p>
        </w:tc>
        <w:tc>
          <w:tcPr>
            <w:tcW w:w="1680" w:type="pct"/>
            <w:shd w:val="pct5" w:color="000000" w:fill="FFFFFF"/>
          </w:tcPr>
          <w:p w14:paraId="416EE775" w14:textId="0A767DBA" w:rsidR="00A01E86" w:rsidRDefault="00A01E86" w:rsidP="008948E0">
            <w:pPr>
              <w:rPr>
                <w:b/>
                <w:sz w:val="20"/>
                <w:szCs w:val="20"/>
              </w:rPr>
            </w:pPr>
            <w:r w:rsidRPr="008D0D38">
              <w:rPr>
                <w:b/>
                <w:bCs/>
                <w:sz w:val="20"/>
                <w:szCs w:val="20"/>
              </w:rPr>
              <w:t>VFDs for HVAC Fans PGECOHVC106 R</w:t>
            </w:r>
            <w:r>
              <w:rPr>
                <w:b/>
                <w:bCs/>
                <w:sz w:val="20"/>
                <w:szCs w:val="20"/>
              </w:rPr>
              <w:t>3</w:t>
            </w:r>
            <w:r w:rsidRPr="008D0D38">
              <w:rPr>
                <w:b/>
                <w:bCs/>
                <w:sz w:val="20"/>
                <w:szCs w:val="20"/>
              </w:rPr>
              <w:t>.doc</w:t>
            </w:r>
            <w:r>
              <w:rPr>
                <w:b/>
                <w:sz w:val="20"/>
                <w:szCs w:val="20"/>
              </w:rPr>
              <w:t xml:space="preserve"> Updated Catalog Description</w:t>
            </w:r>
            <w:r w:rsidDel="00BD7CF9">
              <w:rPr>
                <w:b/>
                <w:sz w:val="20"/>
                <w:szCs w:val="20"/>
              </w:rPr>
              <w:t xml:space="preserve"> </w:t>
            </w:r>
            <w:r>
              <w:rPr>
                <w:b/>
                <w:sz w:val="20"/>
                <w:szCs w:val="20"/>
              </w:rPr>
              <w:t xml:space="preserve">and References. </w:t>
            </w:r>
          </w:p>
        </w:tc>
        <w:tc>
          <w:tcPr>
            <w:tcW w:w="1680" w:type="pct"/>
            <w:shd w:val="pct5" w:color="000000" w:fill="FFFFFF"/>
          </w:tcPr>
          <w:p w14:paraId="7EC1F201" w14:textId="77777777" w:rsidR="00A01E86" w:rsidRDefault="00A01E86" w:rsidP="00F81A41">
            <w:pPr>
              <w:rPr>
                <w:b/>
                <w:sz w:val="20"/>
                <w:szCs w:val="20"/>
              </w:rPr>
            </w:pPr>
            <w:r>
              <w:rPr>
                <w:b/>
                <w:sz w:val="20"/>
                <w:szCs w:val="20"/>
              </w:rPr>
              <w:t>Judith Jennings, (PG&amp;E)</w:t>
            </w:r>
          </w:p>
          <w:p w14:paraId="56B247CC" w14:textId="716DFB5C" w:rsidR="00A01E86" w:rsidRPr="00DE21B1" w:rsidRDefault="00A01E86" w:rsidP="00746DDC">
            <w:pPr>
              <w:rPr>
                <w:b/>
                <w:bCs/>
                <w:sz w:val="20"/>
                <w:szCs w:val="20"/>
              </w:rPr>
            </w:pPr>
            <w:r w:rsidRPr="000A34A4">
              <w:rPr>
                <w:b/>
                <w:sz w:val="20"/>
                <w:szCs w:val="20"/>
              </w:rPr>
              <w:t>Jon Aldrich (kW Engineering)</w:t>
            </w:r>
          </w:p>
        </w:tc>
      </w:tr>
      <w:tr w:rsidR="00A01E86" w:rsidRPr="00DE21B1" w14:paraId="0539F109" w14:textId="77777777" w:rsidTr="00A01E86">
        <w:trPr>
          <w:trHeight w:val="464"/>
        </w:trPr>
        <w:tc>
          <w:tcPr>
            <w:tcW w:w="858" w:type="pct"/>
            <w:shd w:val="clear" w:color="auto" w:fill="BFBFBF" w:themeFill="background1" w:themeFillShade="BF"/>
          </w:tcPr>
          <w:p w14:paraId="71868B98" w14:textId="2350E0F3" w:rsidR="00A01E86" w:rsidRPr="00DE21B1" w:rsidRDefault="00A01E86" w:rsidP="008948E0">
            <w:pPr>
              <w:rPr>
                <w:b/>
              </w:rPr>
            </w:pPr>
            <w:r w:rsidRPr="00AE2E62">
              <w:rPr>
                <w:b/>
              </w:rPr>
              <w:t>Revision 3</w:t>
            </w:r>
          </w:p>
        </w:tc>
        <w:tc>
          <w:tcPr>
            <w:tcW w:w="783" w:type="pct"/>
            <w:shd w:val="clear" w:color="auto" w:fill="BFBFBF" w:themeFill="background1" w:themeFillShade="BF"/>
          </w:tcPr>
          <w:p w14:paraId="51A632F0" w14:textId="70D28CBC" w:rsidR="00A01E86" w:rsidRPr="00DE21B1" w:rsidRDefault="00A01E86" w:rsidP="005B00A6">
            <w:pPr>
              <w:autoSpaceDE w:val="0"/>
              <w:autoSpaceDN w:val="0"/>
              <w:adjustRightInd w:val="0"/>
              <w:rPr>
                <w:b/>
                <w:sz w:val="20"/>
                <w:szCs w:val="20"/>
                <w:highlight w:val="yellow"/>
              </w:rPr>
            </w:pPr>
            <w:r w:rsidRPr="00AE2E62">
              <w:rPr>
                <w:b/>
                <w:sz w:val="20"/>
                <w:szCs w:val="20"/>
              </w:rPr>
              <w:t>8/29/2012</w:t>
            </w:r>
          </w:p>
        </w:tc>
        <w:tc>
          <w:tcPr>
            <w:tcW w:w="1680" w:type="pct"/>
            <w:shd w:val="clear" w:color="auto" w:fill="BFBFBF" w:themeFill="background1" w:themeFillShade="BF"/>
          </w:tcPr>
          <w:p w14:paraId="6FFD109A" w14:textId="586E0CEB" w:rsidR="00A01E86" w:rsidRDefault="00A01E86" w:rsidP="008948E0">
            <w:pPr>
              <w:rPr>
                <w:b/>
                <w:sz w:val="20"/>
                <w:szCs w:val="20"/>
              </w:rPr>
            </w:pPr>
            <w:r w:rsidRPr="00AE2E62">
              <w:rPr>
                <w:b/>
                <w:sz w:val="20"/>
                <w:szCs w:val="20"/>
              </w:rPr>
              <w:t>Revise nomenclature per ED request.</w:t>
            </w:r>
            <w:r>
              <w:rPr>
                <w:b/>
                <w:sz w:val="20"/>
                <w:szCs w:val="20"/>
              </w:rPr>
              <w:t xml:space="preserve"> Added OTR explanation in two places. Set GRRs to 1, and implementation method to I. Revised dates on cover and footer.</w:t>
            </w:r>
          </w:p>
        </w:tc>
        <w:tc>
          <w:tcPr>
            <w:tcW w:w="1680" w:type="pct"/>
            <w:shd w:val="clear" w:color="auto" w:fill="BFBFBF" w:themeFill="background1" w:themeFillShade="BF"/>
          </w:tcPr>
          <w:p w14:paraId="5A72E7F8" w14:textId="10F280B2" w:rsidR="00A01E86" w:rsidRPr="00DE21B1" w:rsidRDefault="00A01E86" w:rsidP="00746DDC">
            <w:pPr>
              <w:rPr>
                <w:b/>
                <w:bCs/>
                <w:sz w:val="20"/>
                <w:szCs w:val="20"/>
              </w:rPr>
            </w:pPr>
            <w:r w:rsidRPr="00AE2E62">
              <w:rPr>
                <w:b/>
                <w:sz w:val="20"/>
                <w:szCs w:val="20"/>
              </w:rPr>
              <w:t>Judith Jennings (PG&amp;E)</w:t>
            </w:r>
          </w:p>
        </w:tc>
      </w:tr>
      <w:tr w:rsidR="00A01E86" w:rsidRPr="00DE21B1" w14:paraId="7859007C" w14:textId="77777777" w:rsidTr="00A01E86">
        <w:trPr>
          <w:trHeight w:val="464"/>
        </w:trPr>
        <w:tc>
          <w:tcPr>
            <w:tcW w:w="858" w:type="pct"/>
            <w:shd w:val="clear" w:color="auto" w:fill="auto"/>
          </w:tcPr>
          <w:p w14:paraId="125F9A8D" w14:textId="3637346F" w:rsidR="00A01E86" w:rsidRPr="00AE2E62" w:rsidRDefault="00A01E86" w:rsidP="008948E0">
            <w:pPr>
              <w:rPr>
                <w:b/>
              </w:rPr>
            </w:pPr>
            <w:r>
              <w:rPr>
                <w:b/>
              </w:rPr>
              <w:t>Revision 4</w:t>
            </w:r>
          </w:p>
        </w:tc>
        <w:tc>
          <w:tcPr>
            <w:tcW w:w="783" w:type="pct"/>
            <w:shd w:val="clear" w:color="auto" w:fill="auto"/>
          </w:tcPr>
          <w:p w14:paraId="78B8D6BB" w14:textId="4F98838D" w:rsidR="00D34AF4" w:rsidRPr="00AE2E62" w:rsidRDefault="00D34AF4" w:rsidP="005B00A6">
            <w:pPr>
              <w:autoSpaceDE w:val="0"/>
              <w:autoSpaceDN w:val="0"/>
              <w:adjustRightInd w:val="0"/>
              <w:rPr>
                <w:b/>
                <w:sz w:val="20"/>
                <w:szCs w:val="20"/>
              </w:rPr>
            </w:pPr>
            <w:r>
              <w:rPr>
                <w:b/>
                <w:sz w:val="20"/>
                <w:szCs w:val="20"/>
              </w:rPr>
              <w:t>5/08/2014</w:t>
            </w:r>
          </w:p>
        </w:tc>
        <w:tc>
          <w:tcPr>
            <w:tcW w:w="1680" w:type="pct"/>
            <w:shd w:val="clear" w:color="auto" w:fill="auto"/>
          </w:tcPr>
          <w:p w14:paraId="6612B705" w14:textId="13E3D998" w:rsidR="00A01E86" w:rsidRPr="00AE2E62" w:rsidRDefault="00A01E86" w:rsidP="008948E0">
            <w:pPr>
              <w:rPr>
                <w:b/>
                <w:sz w:val="20"/>
                <w:szCs w:val="20"/>
              </w:rPr>
            </w:pPr>
            <w:r>
              <w:rPr>
                <w:b/>
                <w:sz w:val="20"/>
                <w:szCs w:val="20"/>
              </w:rPr>
              <w:t xml:space="preserve">Revised with new </w:t>
            </w:r>
            <w:proofErr w:type="spellStart"/>
            <w:r>
              <w:rPr>
                <w:b/>
                <w:sz w:val="20"/>
                <w:szCs w:val="20"/>
              </w:rPr>
              <w:t>workpaper</w:t>
            </w:r>
            <w:proofErr w:type="spellEnd"/>
            <w:r>
              <w:rPr>
                <w:b/>
                <w:sz w:val="20"/>
                <w:szCs w:val="20"/>
              </w:rPr>
              <w:t xml:space="preserve"> template. Updated references to DEER2014. </w:t>
            </w:r>
            <w:r w:rsidR="00990B62">
              <w:rPr>
                <w:b/>
                <w:sz w:val="20"/>
                <w:szCs w:val="20"/>
              </w:rPr>
              <w:t xml:space="preserve">Added </w:t>
            </w:r>
            <w:r w:rsidR="00FD1F31">
              <w:rPr>
                <w:b/>
                <w:sz w:val="20"/>
                <w:szCs w:val="20"/>
              </w:rPr>
              <w:t>midstream/direct install distribution channel.</w:t>
            </w:r>
            <w:r>
              <w:rPr>
                <w:b/>
                <w:sz w:val="20"/>
                <w:szCs w:val="20"/>
              </w:rPr>
              <w:t xml:space="preserve"> </w:t>
            </w:r>
          </w:p>
        </w:tc>
        <w:tc>
          <w:tcPr>
            <w:tcW w:w="1680" w:type="pct"/>
            <w:shd w:val="clear" w:color="auto" w:fill="auto"/>
          </w:tcPr>
          <w:p w14:paraId="77043B04" w14:textId="3F21AFB1" w:rsidR="00A01E86" w:rsidRPr="00AE2E62" w:rsidRDefault="00A01E86" w:rsidP="00746DDC">
            <w:pPr>
              <w:rPr>
                <w:b/>
                <w:sz w:val="20"/>
                <w:szCs w:val="20"/>
              </w:rPr>
            </w:pPr>
            <w:r>
              <w:rPr>
                <w:b/>
                <w:sz w:val="20"/>
                <w:szCs w:val="20"/>
              </w:rPr>
              <w:t>Jia Huang (PG&amp;E)</w:t>
            </w:r>
          </w:p>
        </w:tc>
      </w:tr>
    </w:tbl>
    <w:p w14:paraId="393A0A6A" w14:textId="77F00FBB" w:rsidR="00E71EF1" w:rsidRDefault="00E71EF1" w:rsidP="00F55847">
      <w:pPr>
        <w:pStyle w:val="Heading1"/>
      </w:pPr>
      <w:bookmarkStart w:id="21" w:name="_Toc186621650"/>
      <w:bookmarkStart w:id="22" w:name="_Toc304800197"/>
      <w:bookmarkStart w:id="23" w:name="_Toc324318334"/>
      <w:r w:rsidRPr="006832A4">
        <w:br w:type="page"/>
      </w:r>
      <w:bookmarkStart w:id="24" w:name="_Toc304800198"/>
      <w:bookmarkStart w:id="25" w:name="_Toc324340478"/>
      <w:bookmarkStart w:id="26" w:name="_Toc386699710"/>
      <w:r w:rsidR="001248A3">
        <w:lastRenderedPageBreak/>
        <w:t>Table</w:t>
      </w:r>
      <w:r w:rsidR="006559C8">
        <w:t xml:space="preserve"> of Contents</w:t>
      </w:r>
      <w:bookmarkEnd w:id="21"/>
      <w:bookmarkEnd w:id="22"/>
      <w:bookmarkEnd w:id="23"/>
      <w:bookmarkEnd w:id="24"/>
      <w:bookmarkEnd w:id="25"/>
      <w:bookmarkEnd w:id="26"/>
    </w:p>
    <w:p w14:paraId="3F6E4E33" w14:textId="77777777" w:rsidR="003545ED" w:rsidRDefault="00F10E38">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6699707" w:history="1">
        <w:r w:rsidR="003545ED" w:rsidRPr="007F48A1">
          <w:rPr>
            <w:rStyle w:val="Hyperlink"/>
            <w:noProof/>
          </w:rPr>
          <w:t>At-a-Glance Summary</w:t>
        </w:r>
        <w:r w:rsidR="003545ED">
          <w:rPr>
            <w:noProof/>
            <w:webHidden/>
          </w:rPr>
          <w:tab/>
        </w:r>
        <w:r w:rsidR="003545ED">
          <w:rPr>
            <w:noProof/>
            <w:webHidden/>
          </w:rPr>
          <w:fldChar w:fldCharType="begin"/>
        </w:r>
        <w:r w:rsidR="003545ED">
          <w:rPr>
            <w:noProof/>
            <w:webHidden/>
          </w:rPr>
          <w:instrText xml:space="preserve"> PAGEREF _Toc386699707 \h </w:instrText>
        </w:r>
        <w:r w:rsidR="003545ED">
          <w:rPr>
            <w:noProof/>
            <w:webHidden/>
          </w:rPr>
        </w:r>
        <w:r w:rsidR="003545ED">
          <w:rPr>
            <w:noProof/>
            <w:webHidden/>
          </w:rPr>
          <w:fldChar w:fldCharType="separate"/>
        </w:r>
        <w:r w:rsidR="003545ED">
          <w:rPr>
            <w:noProof/>
            <w:webHidden/>
          </w:rPr>
          <w:t>i</w:t>
        </w:r>
        <w:r w:rsidR="003545ED">
          <w:rPr>
            <w:noProof/>
            <w:webHidden/>
          </w:rPr>
          <w:fldChar w:fldCharType="end"/>
        </w:r>
      </w:hyperlink>
    </w:p>
    <w:p w14:paraId="05BAE29B" w14:textId="77777777" w:rsidR="003545ED" w:rsidRDefault="0004019F">
      <w:pPr>
        <w:pStyle w:val="TOC1"/>
        <w:rPr>
          <w:rFonts w:asciiTheme="minorHAnsi" w:eastAsiaTheme="minorEastAsia" w:hAnsiTheme="minorHAnsi" w:cstheme="minorBidi"/>
          <w:noProof/>
          <w:szCs w:val="22"/>
        </w:rPr>
      </w:pPr>
      <w:hyperlink w:anchor="_Toc386699708" w:history="1">
        <w:r w:rsidR="003545ED" w:rsidRPr="007F48A1">
          <w:rPr>
            <w:rStyle w:val="Hyperlink"/>
            <w:noProof/>
          </w:rPr>
          <w:t>Work Paper Approvals</w:t>
        </w:r>
        <w:r w:rsidR="003545ED">
          <w:rPr>
            <w:noProof/>
            <w:webHidden/>
          </w:rPr>
          <w:tab/>
        </w:r>
        <w:r w:rsidR="003545ED">
          <w:rPr>
            <w:noProof/>
            <w:webHidden/>
          </w:rPr>
          <w:fldChar w:fldCharType="begin"/>
        </w:r>
        <w:r w:rsidR="003545ED">
          <w:rPr>
            <w:noProof/>
            <w:webHidden/>
          </w:rPr>
          <w:instrText xml:space="preserve"> PAGEREF _Toc386699708 \h </w:instrText>
        </w:r>
        <w:r w:rsidR="003545ED">
          <w:rPr>
            <w:noProof/>
            <w:webHidden/>
          </w:rPr>
        </w:r>
        <w:r w:rsidR="003545ED">
          <w:rPr>
            <w:noProof/>
            <w:webHidden/>
          </w:rPr>
          <w:fldChar w:fldCharType="separate"/>
        </w:r>
        <w:r w:rsidR="003545ED">
          <w:rPr>
            <w:noProof/>
            <w:webHidden/>
          </w:rPr>
          <w:t>ii</w:t>
        </w:r>
        <w:r w:rsidR="003545ED">
          <w:rPr>
            <w:noProof/>
            <w:webHidden/>
          </w:rPr>
          <w:fldChar w:fldCharType="end"/>
        </w:r>
      </w:hyperlink>
    </w:p>
    <w:p w14:paraId="6D94133F" w14:textId="77777777" w:rsidR="003545ED" w:rsidRDefault="0004019F">
      <w:pPr>
        <w:pStyle w:val="TOC1"/>
        <w:rPr>
          <w:rFonts w:asciiTheme="minorHAnsi" w:eastAsiaTheme="minorEastAsia" w:hAnsiTheme="minorHAnsi" w:cstheme="minorBidi"/>
          <w:noProof/>
          <w:szCs w:val="22"/>
        </w:rPr>
      </w:pPr>
      <w:hyperlink w:anchor="_Toc386699709" w:history="1">
        <w:r w:rsidR="003545ED" w:rsidRPr="007F48A1">
          <w:rPr>
            <w:rStyle w:val="Hyperlink"/>
            <w:noProof/>
          </w:rPr>
          <w:t>Document Revision History</w:t>
        </w:r>
        <w:r w:rsidR="003545ED">
          <w:rPr>
            <w:noProof/>
            <w:webHidden/>
          </w:rPr>
          <w:tab/>
        </w:r>
        <w:r w:rsidR="003545ED">
          <w:rPr>
            <w:noProof/>
            <w:webHidden/>
          </w:rPr>
          <w:fldChar w:fldCharType="begin"/>
        </w:r>
        <w:r w:rsidR="003545ED">
          <w:rPr>
            <w:noProof/>
            <w:webHidden/>
          </w:rPr>
          <w:instrText xml:space="preserve"> PAGEREF _Toc386699709 \h </w:instrText>
        </w:r>
        <w:r w:rsidR="003545ED">
          <w:rPr>
            <w:noProof/>
            <w:webHidden/>
          </w:rPr>
        </w:r>
        <w:r w:rsidR="003545ED">
          <w:rPr>
            <w:noProof/>
            <w:webHidden/>
          </w:rPr>
          <w:fldChar w:fldCharType="separate"/>
        </w:r>
        <w:r w:rsidR="003545ED">
          <w:rPr>
            <w:noProof/>
            <w:webHidden/>
          </w:rPr>
          <w:t>iii</w:t>
        </w:r>
        <w:r w:rsidR="003545ED">
          <w:rPr>
            <w:noProof/>
            <w:webHidden/>
          </w:rPr>
          <w:fldChar w:fldCharType="end"/>
        </w:r>
      </w:hyperlink>
    </w:p>
    <w:p w14:paraId="64B347E7" w14:textId="77777777" w:rsidR="003545ED" w:rsidRDefault="0004019F">
      <w:pPr>
        <w:pStyle w:val="TOC1"/>
        <w:rPr>
          <w:rFonts w:asciiTheme="minorHAnsi" w:eastAsiaTheme="minorEastAsia" w:hAnsiTheme="minorHAnsi" w:cstheme="minorBidi"/>
          <w:noProof/>
          <w:szCs w:val="22"/>
        </w:rPr>
      </w:pPr>
      <w:hyperlink w:anchor="_Toc386699710" w:history="1">
        <w:r w:rsidR="003545ED" w:rsidRPr="007F48A1">
          <w:rPr>
            <w:rStyle w:val="Hyperlink"/>
            <w:noProof/>
          </w:rPr>
          <w:t>Table of Contents</w:t>
        </w:r>
        <w:r w:rsidR="003545ED">
          <w:rPr>
            <w:noProof/>
            <w:webHidden/>
          </w:rPr>
          <w:tab/>
        </w:r>
        <w:r w:rsidR="003545ED">
          <w:rPr>
            <w:noProof/>
            <w:webHidden/>
          </w:rPr>
          <w:fldChar w:fldCharType="begin"/>
        </w:r>
        <w:r w:rsidR="003545ED">
          <w:rPr>
            <w:noProof/>
            <w:webHidden/>
          </w:rPr>
          <w:instrText xml:space="preserve"> PAGEREF _Toc386699710 \h </w:instrText>
        </w:r>
        <w:r w:rsidR="003545ED">
          <w:rPr>
            <w:noProof/>
            <w:webHidden/>
          </w:rPr>
        </w:r>
        <w:r w:rsidR="003545ED">
          <w:rPr>
            <w:noProof/>
            <w:webHidden/>
          </w:rPr>
          <w:fldChar w:fldCharType="separate"/>
        </w:r>
        <w:r w:rsidR="003545ED">
          <w:rPr>
            <w:noProof/>
            <w:webHidden/>
          </w:rPr>
          <w:t>iv</w:t>
        </w:r>
        <w:r w:rsidR="003545ED">
          <w:rPr>
            <w:noProof/>
            <w:webHidden/>
          </w:rPr>
          <w:fldChar w:fldCharType="end"/>
        </w:r>
      </w:hyperlink>
    </w:p>
    <w:p w14:paraId="4CDA5809" w14:textId="77777777" w:rsidR="003545ED" w:rsidRDefault="0004019F">
      <w:pPr>
        <w:pStyle w:val="TOC1"/>
        <w:rPr>
          <w:rFonts w:asciiTheme="minorHAnsi" w:eastAsiaTheme="minorEastAsia" w:hAnsiTheme="minorHAnsi" w:cstheme="minorBidi"/>
          <w:noProof/>
          <w:szCs w:val="22"/>
        </w:rPr>
      </w:pPr>
      <w:hyperlink w:anchor="_Toc386699711" w:history="1">
        <w:r w:rsidR="003545ED" w:rsidRPr="007F48A1">
          <w:rPr>
            <w:rStyle w:val="Hyperlink"/>
            <w:noProof/>
          </w:rPr>
          <w:t>List of Tables</w:t>
        </w:r>
        <w:r w:rsidR="003545ED">
          <w:rPr>
            <w:noProof/>
            <w:webHidden/>
          </w:rPr>
          <w:tab/>
        </w:r>
        <w:r w:rsidR="003545ED">
          <w:rPr>
            <w:noProof/>
            <w:webHidden/>
          </w:rPr>
          <w:fldChar w:fldCharType="begin"/>
        </w:r>
        <w:r w:rsidR="003545ED">
          <w:rPr>
            <w:noProof/>
            <w:webHidden/>
          </w:rPr>
          <w:instrText xml:space="preserve"> PAGEREF _Toc386699711 \h </w:instrText>
        </w:r>
        <w:r w:rsidR="003545ED">
          <w:rPr>
            <w:noProof/>
            <w:webHidden/>
          </w:rPr>
        </w:r>
        <w:r w:rsidR="003545ED">
          <w:rPr>
            <w:noProof/>
            <w:webHidden/>
          </w:rPr>
          <w:fldChar w:fldCharType="separate"/>
        </w:r>
        <w:r w:rsidR="003545ED">
          <w:rPr>
            <w:noProof/>
            <w:webHidden/>
          </w:rPr>
          <w:t>v</w:t>
        </w:r>
        <w:r w:rsidR="003545ED">
          <w:rPr>
            <w:noProof/>
            <w:webHidden/>
          </w:rPr>
          <w:fldChar w:fldCharType="end"/>
        </w:r>
      </w:hyperlink>
    </w:p>
    <w:p w14:paraId="6F70396B" w14:textId="77777777" w:rsidR="003545ED" w:rsidRDefault="0004019F">
      <w:pPr>
        <w:pStyle w:val="TOC1"/>
        <w:rPr>
          <w:rFonts w:asciiTheme="minorHAnsi" w:eastAsiaTheme="minorEastAsia" w:hAnsiTheme="minorHAnsi" w:cstheme="minorBidi"/>
          <w:noProof/>
          <w:szCs w:val="22"/>
        </w:rPr>
      </w:pPr>
      <w:hyperlink w:anchor="_Toc386699712" w:history="1">
        <w:r w:rsidR="003545ED" w:rsidRPr="007F48A1">
          <w:rPr>
            <w:rStyle w:val="Hyperlink"/>
            <w:noProof/>
          </w:rPr>
          <w:t>List of Figures</w:t>
        </w:r>
        <w:r w:rsidR="003545ED">
          <w:rPr>
            <w:noProof/>
            <w:webHidden/>
          </w:rPr>
          <w:tab/>
        </w:r>
        <w:r w:rsidR="003545ED">
          <w:rPr>
            <w:noProof/>
            <w:webHidden/>
          </w:rPr>
          <w:fldChar w:fldCharType="begin"/>
        </w:r>
        <w:r w:rsidR="003545ED">
          <w:rPr>
            <w:noProof/>
            <w:webHidden/>
          </w:rPr>
          <w:instrText xml:space="preserve"> PAGEREF _Toc386699712 \h </w:instrText>
        </w:r>
        <w:r w:rsidR="003545ED">
          <w:rPr>
            <w:noProof/>
            <w:webHidden/>
          </w:rPr>
        </w:r>
        <w:r w:rsidR="003545ED">
          <w:rPr>
            <w:noProof/>
            <w:webHidden/>
          </w:rPr>
          <w:fldChar w:fldCharType="separate"/>
        </w:r>
        <w:r w:rsidR="003545ED">
          <w:rPr>
            <w:noProof/>
            <w:webHidden/>
          </w:rPr>
          <w:t>v</w:t>
        </w:r>
        <w:r w:rsidR="003545ED">
          <w:rPr>
            <w:noProof/>
            <w:webHidden/>
          </w:rPr>
          <w:fldChar w:fldCharType="end"/>
        </w:r>
      </w:hyperlink>
    </w:p>
    <w:p w14:paraId="3F57AA25" w14:textId="77777777" w:rsidR="003545ED" w:rsidRDefault="0004019F">
      <w:pPr>
        <w:pStyle w:val="TOC1"/>
        <w:rPr>
          <w:rFonts w:asciiTheme="minorHAnsi" w:eastAsiaTheme="minorEastAsia" w:hAnsiTheme="minorHAnsi" w:cstheme="minorBidi"/>
          <w:noProof/>
          <w:szCs w:val="22"/>
        </w:rPr>
      </w:pPr>
      <w:hyperlink w:anchor="_Toc386699713" w:history="1">
        <w:r w:rsidR="003545ED" w:rsidRPr="007F48A1">
          <w:rPr>
            <w:rStyle w:val="Hyperlink"/>
            <w:noProof/>
          </w:rPr>
          <w:t>Section 1. General Measure &amp; Baseline Data</w:t>
        </w:r>
        <w:r w:rsidR="003545ED">
          <w:rPr>
            <w:noProof/>
            <w:webHidden/>
          </w:rPr>
          <w:tab/>
        </w:r>
        <w:r w:rsidR="003545ED">
          <w:rPr>
            <w:noProof/>
            <w:webHidden/>
          </w:rPr>
          <w:fldChar w:fldCharType="begin"/>
        </w:r>
        <w:r w:rsidR="003545ED">
          <w:rPr>
            <w:noProof/>
            <w:webHidden/>
          </w:rPr>
          <w:instrText xml:space="preserve"> PAGEREF _Toc386699713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2127130D"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14" w:history="1">
        <w:r w:rsidR="003545ED" w:rsidRPr="007F48A1">
          <w:rPr>
            <w:rStyle w:val="Hyperlink"/>
            <w:noProof/>
          </w:rPr>
          <w:t>1.1 Product Measure Description &amp; Background</w:t>
        </w:r>
        <w:r w:rsidR="003545ED">
          <w:rPr>
            <w:noProof/>
            <w:webHidden/>
          </w:rPr>
          <w:tab/>
        </w:r>
        <w:r w:rsidR="003545ED">
          <w:rPr>
            <w:noProof/>
            <w:webHidden/>
          </w:rPr>
          <w:fldChar w:fldCharType="begin"/>
        </w:r>
        <w:r w:rsidR="003545ED">
          <w:rPr>
            <w:noProof/>
            <w:webHidden/>
          </w:rPr>
          <w:instrText xml:space="preserve"> PAGEREF _Toc386699714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7312A9BE"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15" w:history="1">
        <w:r w:rsidR="003545ED" w:rsidRPr="007F48A1">
          <w:rPr>
            <w:rStyle w:val="Hyperlink"/>
            <w:noProof/>
          </w:rPr>
          <w:t>1.2 Product Technical Description</w:t>
        </w:r>
        <w:r w:rsidR="003545ED">
          <w:rPr>
            <w:noProof/>
            <w:webHidden/>
          </w:rPr>
          <w:tab/>
        </w:r>
        <w:r w:rsidR="003545ED">
          <w:rPr>
            <w:noProof/>
            <w:webHidden/>
          </w:rPr>
          <w:fldChar w:fldCharType="begin"/>
        </w:r>
        <w:r w:rsidR="003545ED">
          <w:rPr>
            <w:noProof/>
            <w:webHidden/>
          </w:rPr>
          <w:instrText xml:space="preserve"> PAGEREF _Toc386699715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2E06DDED"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16" w:history="1">
        <w:r w:rsidR="003545ED" w:rsidRPr="007F48A1">
          <w:rPr>
            <w:rStyle w:val="Hyperlink"/>
            <w:noProof/>
          </w:rPr>
          <w:t>1.3 Measure Application Type</w:t>
        </w:r>
        <w:r w:rsidR="003545ED">
          <w:rPr>
            <w:noProof/>
            <w:webHidden/>
          </w:rPr>
          <w:tab/>
        </w:r>
        <w:r w:rsidR="003545ED">
          <w:rPr>
            <w:noProof/>
            <w:webHidden/>
          </w:rPr>
          <w:fldChar w:fldCharType="begin"/>
        </w:r>
        <w:r w:rsidR="003545ED">
          <w:rPr>
            <w:noProof/>
            <w:webHidden/>
          </w:rPr>
          <w:instrText xml:space="preserve"> PAGEREF _Toc386699716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587CA955"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17" w:history="1">
        <w:r w:rsidR="003545ED" w:rsidRPr="007F48A1">
          <w:rPr>
            <w:rStyle w:val="Hyperlink"/>
            <w:noProof/>
          </w:rPr>
          <w:t>1.4 Product Base Case and Measure Case Data</w:t>
        </w:r>
        <w:r w:rsidR="003545ED">
          <w:rPr>
            <w:noProof/>
            <w:webHidden/>
          </w:rPr>
          <w:tab/>
        </w:r>
        <w:r w:rsidR="003545ED">
          <w:rPr>
            <w:noProof/>
            <w:webHidden/>
          </w:rPr>
          <w:fldChar w:fldCharType="begin"/>
        </w:r>
        <w:r w:rsidR="003545ED">
          <w:rPr>
            <w:noProof/>
            <w:webHidden/>
          </w:rPr>
          <w:instrText xml:space="preserve"> PAGEREF _Toc386699717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417912B9"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18" w:history="1">
        <w:r w:rsidR="003545ED" w:rsidRPr="007F48A1">
          <w:rPr>
            <w:rStyle w:val="Hyperlink"/>
            <w:noProof/>
          </w:rPr>
          <w:t>1.4.1 DEER Base Case and Measure Case Information</w:t>
        </w:r>
        <w:r w:rsidR="003545ED">
          <w:rPr>
            <w:noProof/>
            <w:webHidden/>
          </w:rPr>
          <w:tab/>
        </w:r>
        <w:r w:rsidR="003545ED">
          <w:rPr>
            <w:noProof/>
            <w:webHidden/>
          </w:rPr>
          <w:fldChar w:fldCharType="begin"/>
        </w:r>
        <w:r w:rsidR="003545ED">
          <w:rPr>
            <w:noProof/>
            <w:webHidden/>
          </w:rPr>
          <w:instrText xml:space="preserve"> PAGEREF _Toc386699718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5CD00BD0"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19" w:history="1">
        <w:r w:rsidR="003545ED" w:rsidRPr="007F48A1">
          <w:rPr>
            <w:rStyle w:val="Hyperlink"/>
            <w:noProof/>
          </w:rPr>
          <w:t>1.4.2 Codes &amp; Standards Requirements Base Case and Measure Information</w:t>
        </w:r>
        <w:r w:rsidR="003545ED">
          <w:rPr>
            <w:noProof/>
            <w:webHidden/>
          </w:rPr>
          <w:tab/>
        </w:r>
        <w:r w:rsidR="003545ED">
          <w:rPr>
            <w:noProof/>
            <w:webHidden/>
          </w:rPr>
          <w:fldChar w:fldCharType="begin"/>
        </w:r>
        <w:r w:rsidR="003545ED">
          <w:rPr>
            <w:noProof/>
            <w:webHidden/>
          </w:rPr>
          <w:instrText xml:space="preserve"> PAGEREF _Toc386699719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346204C7"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20" w:history="1">
        <w:r w:rsidR="003545ED" w:rsidRPr="007F48A1">
          <w:rPr>
            <w:rStyle w:val="Hyperlink"/>
            <w:noProof/>
          </w:rPr>
          <w:t>1.4.3 EM&amp;V, Market Potential, and Other Studies – Base Case and Measure Case Information</w:t>
        </w:r>
        <w:r w:rsidR="003545ED">
          <w:rPr>
            <w:noProof/>
            <w:webHidden/>
          </w:rPr>
          <w:tab/>
        </w:r>
        <w:r w:rsidR="003545ED">
          <w:rPr>
            <w:noProof/>
            <w:webHidden/>
          </w:rPr>
          <w:fldChar w:fldCharType="begin"/>
        </w:r>
        <w:r w:rsidR="003545ED">
          <w:rPr>
            <w:noProof/>
            <w:webHidden/>
          </w:rPr>
          <w:instrText xml:space="preserve"> PAGEREF _Toc386699720 \h </w:instrText>
        </w:r>
        <w:r w:rsidR="003545ED">
          <w:rPr>
            <w:noProof/>
            <w:webHidden/>
          </w:rPr>
        </w:r>
        <w:r w:rsidR="003545ED">
          <w:rPr>
            <w:noProof/>
            <w:webHidden/>
          </w:rPr>
          <w:fldChar w:fldCharType="separate"/>
        </w:r>
        <w:r w:rsidR="003545ED">
          <w:rPr>
            <w:noProof/>
            <w:webHidden/>
          </w:rPr>
          <w:t>3</w:t>
        </w:r>
        <w:r w:rsidR="003545ED">
          <w:rPr>
            <w:noProof/>
            <w:webHidden/>
          </w:rPr>
          <w:fldChar w:fldCharType="end"/>
        </w:r>
      </w:hyperlink>
    </w:p>
    <w:p w14:paraId="2F5E1472"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21" w:history="1">
        <w:r w:rsidR="003545ED" w:rsidRPr="007F48A1">
          <w:rPr>
            <w:rStyle w:val="Hyperlink"/>
            <w:noProof/>
          </w:rPr>
          <w:t>1.4.4 Assumptions and Calculations from other sources—Base and Measure Cases</w:t>
        </w:r>
        <w:r w:rsidR="003545ED">
          <w:rPr>
            <w:noProof/>
            <w:webHidden/>
          </w:rPr>
          <w:tab/>
        </w:r>
        <w:r w:rsidR="003545ED">
          <w:rPr>
            <w:noProof/>
            <w:webHidden/>
          </w:rPr>
          <w:fldChar w:fldCharType="begin"/>
        </w:r>
        <w:r w:rsidR="003545ED">
          <w:rPr>
            <w:noProof/>
            <w:webHidden/>
          </w:rPr>
          <w:instrText xml:space="preserve"> PAGEREF _Toc386699721 \h </w:instrText>
        </w:r>
        <w:r w:rsidR="003545ED">
          <w:rPr>
            <w:noProof/>
            <w:webHidden/>
          </w:rPr>
        </w:r>
        <w:r w:rsidR="003545ED">
          <w:rPr>
            <w:noProof/>
            <w:webHidden/>
          </w:rPr>
          <w:fldChar w:fldCharType="separate"/>
        </w:r>
        <w:r w:rsidR="003545ED">
          <w:rPr>
            <w:noProof/>
            <w:webHidden/>
          </w:rPr>
          <w:t>3</w:t>
        </w:r>
        <w:r w:rsidR="003545ED">
          <w:rPr>
            <w:noProof/>
            <w:webHidden/>
          </w:rPr>
          <w:fldChar w:fldCharType="end"/>
        </w:r>
      </w:hyperlink>
    </w:p>
    <w:p w14:paraId="47431E33" w14:textId="77777777" w:rsidR="003545ED" w:rsidRDefault="0004019F">
      <w:pPr>
        <w:pStyle w:val="TOC1"/>
        <w:rPr>
          <w:rFonts w:asciiTheme="minorHAnsi" w:eastAsiaTheme="minorEastAsia" w:hAnsiTheme="minorHAnsi" w:cstheme="minorBidi"/>
          <w:noProof/>
          <w:szCs w:val="22"/>
        </w:rPr>
      </w:pPr>
      <w:hyperlink w:anchor="_Toc386699722" w:history="1">
        <w:r w:rsidR="003545ED" w:rsidRPr="007F48A1">
          <w:rPr>
            <w:rStyle w:val="Hyperlink"/>
            <w:noProof/>
          </w:rPr>
          <w:t>Section 2. Calculation Methods</w:t>
        </w:r>
        <w:r w:rsidR="003545ED">
          <w:rPr>
            <w:noProof/>
            <w:webHidden/>
          </w:rPr>
          <w:tab/>
        </w:r>
        <w:r w:rsidR="003545ED">
          <w:rPr>
            <w:noProof/>
            <w:webHidden/>
          </w:rPr>
          <w:fldChar w:fldCharType="begin"/>
        </w:r>
        <w:r w:rsidR="003545ED">
          <w:rPr>
            <w:noProof/>
            <w:webHidden/>
          </w:rPr>
          <w:instrText xml:space="preserve"> PAGEREF _Toc386699722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74EA5A9F"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23" w:history="1">
        <w:r w:rsidR="003545ED" w:rsidRPr="007F48A1">
          <w:rPr>
            <w:rStyle w:val="Hyperlink"/>
            <w:noProof/>
          </w:rPr>
          <w:t>2.1 Electric Energy Savings Estimation Methodologies</w:t>
        </w:r>
        <w:r w:rsidR="003545ED">
          <w:rPr>
            <w:noProof/>
            <w:webHidden/>
          </w:rPr>
          <w:tab/>
        </w:r>
        <w:r w:rsidR="003545ED">
          <w:rPr>
            <w:noProof/>
            <w:webHidden/>
          </w:rPr>
          <w:fldChar w:fldCharType="begin"/>
        </w:r>
        <w:r w:rsidR="003545ED">
          <w:rPr>
            <w:noProof/>
            <w:webHidden/>
          </w:rPr>
          <w:instrText xml:space="preserve"> PAGEREF _Toc386699723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5DA38CA2"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24" w:history="1">
        <w:r w:rsidR="003545ED" w:rsidRPr="007F48A1">
          <w:rPr>
            <w:rStyle w:val="Hyperlink"/>
            <w:noProof/>
          </w:rPr>
          <w:t>2.2. Demand Reduction Estimation Methodologies</w:t>
        </w:r>
        <w:r w:rsidR="003545ED">
          <w:rPr>
            <w:noProof/>
            <w:webHidden/>
          </w:rPr>
          <w:tab/>
        </w:r>
        <w:r w:rsidR="003545ED">
          <w:rPr>
            <w:noProof/>
            <w:webHidden/>
          </w:rPr>
          <w:fldChar w:fldCharType="begin"/>
        </w:r>
        <w:r w:rsidR="003545ED">
          <w:rPr>
            <w:noProof/>
            <w:webHidden/>
          </w:rPr>
          <w:instrText xml:space="preserve"> PAGEREF _Toc386699724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6656FAE4"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25" w:history="1">
        <w:r w:rsidR="003545ED" w:rsidRPr="007F48A1">
          <w:rPr>
            <w:rStyle w:val="Hyperlink"/>
            <w:noProof/>
          </w:rPr>
          <w:t>2.3. Gas Energy Savings Estimation Methodologies</w:t>
        </w:r>
        <w:r w:rsidR="003545ED">
          <w:rPr>
            <w:noProof/>
            <w:webHidden/>
          </w:rPr>
          <w:tab/>
        </w:r>
        <w:r w:rsidR="003545ED">
          <w:rPr>
            <w:noProof/>
            <w:webHidden/>
          </w:rPr>
          <w:fldChar w:fldCharType="begin"/>
        </w:r>
        <w:r w:rsidR="003545ED">
          <w:rPr>
            <w:noProof/>
            <w:webHidden/>
          </w:rPr>
          <w:instrText xml:space="preserve"> PAGEREF _Toc386699725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31E3E714" w14:textId="77777777" w:rsidR="003545ED" w:rsidRDefault="0004019F">
      <w:pPr>
        <w:pStyle w:val="TOC1"/>
        <w:rPr>
          <w:rFonts w:asciiTheme="minorHAnsi" w:eastAsiaTheme="minorEastAsia" w:hAnsiTheme="minorHAnsi" w:cstheme="minorBidi"/>
          <w:noProof/>
          <w:szCs w:val="22"/>
        </w:rPr>
      </w:pPr>
      <w:hyperlink w:anchor="_Toc386699726" w:history="1">
        <w:r w:rsidR="003545ED" w:rsidRPr="007F48A1">
          <w:rPr>
            <w:rStyle w:val="Hyperlink"/>
            <w:i/>
            <w:noProof/>
          </w:rPr>
          <w:t>Section 3. Load Shapes</w:t>
        </w:r>
        <w:r w:rsidR="003545ED">
          <w:rPr>
            <w:noProof/>
            <w:webHidden/>
          </w:rPr>
          <w:tab/>
        </w:r>
        <w:r w:rsidR="003545ED">
          <w:rPr>
            <w:noProof/>
            <w:webHidden/>
          </w:rPr>
          <w:fldChar w:fldCharType="begin"/>
        </w:r>
        <w:r w:rsidR="003545ED">
          <w:rPr>
            <w:noProof/>
            <w:webHidden/>
          </w:rPr>
          <w:instrText xml:space="preserve"> PAGEREF _Toc386699726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0F24B379"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27" w:history="1">
        <w:r w:rsidR="003545ED" w:rsidRPr="007F48A1">
          <w:rPr>
            <w:rStyle w:val="Hyperlink"/>
            <w:noProof/>
          </w:rPr>
          <w:t>3.1 Base Case Load Shapes</w:t>
        </w:r>
        <w:r w:rsidR="003545ED">
          <w:rPr>
            <w:noProof/>
            <w:webHidden/>
          </w:rPr>
          <w:tab/>
        </w:r>
        <w:r w:rsidR="003545ED">
          <w:rPr>
            <w:noProof/>
            <w:webHidden/>
          </w:rPr>
          <w:fldChar w:fldCharType="begin"/>
        </w:r>
        <w:r w:rsidR="003545ED">
          <w:rPr>
            <w:noProof/>
            <w:webHidden/>
          </w:rPr>
          <w:instrText xml:space="preserve"> PAGEREF _Toc386699727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0E05EE32"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28" w:history="1">
        <w:r w:rsidR="003545ED" w:rsidRPr="007F48A1">
          <w:rPr>
            <w:rStyle w:val="Hyperlink"/>
            <w:noProof/>
          </w:rPr>
          <w:t>3.2 Measure Load Shapes</w:t>
        </w:r>
        <w:r w:rsidR="003545ED">
          <w:rPr>
            <w:noProof/>
            <w:webHidden/>
          </w:rPr>
          <w:tab/>
        </w:r>
        <w:r w:rsidR="003545ED">
          <w:rPr>
            <w:noProof/>
            <w:webHidden/>
          </w:rPr>
          <w:fldChar w:fldCharType="begin"/>
        </w:r>
        <w:r w:rsidR="003545ED">
          <w:rPr>
            <w:noProof/>
            <w:webHidden/>
          </w:rPr>
          <w:instrText xml:space="preserve"> PAGEREF _Toc386699728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148FA159" w14:textId="77777777" w:rsidR="003545ED" w:rsidRDefault="0004019F">
      <w:pPr>
        <w:pStyle w:val="TOC1"/>
        <w:rPr>
          <w:rFonts w:asciiTheme="minorHAnsi" w:eastAsiaTheme="minorEastAsia" w:hAnsiTheme="minorHAnsi" w:cstheme="minorBidi"/>
          <w:noProof/>
          <w:szCs w:val="22"/>
        </w:rPr>
      </w:pPr>
      <w:hyperlink w:anchor="_Toc386699729" w:history="1">
        <w:r w:rsidR="003545ED" w:rsidRPr="007F48A1">
          <w:rPr>
            <w:rStyle w:val="Hyperlink"/>
            <w:noProof/>
          </w:rPr>
          <w:t>Section 4. Base Case &amp; Measure Costs</w:t>
        </w:r>
        <w:r w:rsidR="003545ED">
          <w:rPr>
            <w:noProof/>
            <w:webHidden/>
          </w:rPr>
          <w:tab/>
        </w:r>
        <w:r w:rsidR="003545ED">
          <w:rPr>
            <w:noProof/>
            <w:webHidden/>
          </w:rPr>
          <w:fldChar w:fldCharType="begin"/>
        </w:r>
        <w:r w:rsidR="003545ED">
          <w:rPr>
            <w:noProof/>
            <w:webHidden/>
          </w:rPr>
          <w:instrText xml:space="preserve"> PAGEREF _Toc386699729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652D9B1D"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30" w:history="1">
        <w:r w:rsidR="003545ED" w:rsidRPr="007F48A1">
          <w:rPr>
            <w:rStyle w:val="Hyperlink"/>
            <w:noProof/>
          </w:rPr>
          <w:t>4.1 Base Case(s) Costs</w:t>
        </w:r>
        <w:r w:rsidR="003545ED">
          <w:rPr>
            <w:noProof/>
            <w:webHidden/>
          </w:rPr>
          <w:tab/>
        </w:r>
        <w:r w:rsidR="003545ED">
          <w:rPr>
            <w:noProof/>
            <w:webHidden/>
          </w:rPr>
          <w:fldChar w:fldCharType="begin"/>
        </w:r>
        <w:r w:rsidR="003545ED">
          <w:rPr>
            <w:noProof/>
            <w:webHidden/>
          </w:rPr>
          <w:instrText xml:space="preserve"> PAGEREF _Toc386699730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21A481D3"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31" w:history="1">
        <w:r w:rsidR="003545ED" w:rsidRPr="007F48A1">
          <w:rPr>
            <w:rStyle w:val="Hyperlink"/>
            <w:noProof/>
          </w:rPr>
          <w:t>4.2 Measure Case Costs</w:t>
        </w:r>
        <w:r w:rsidR="003545ED">
          <w:rPr>
            <w:noProof/>
            <w:webHidden/>
          </w:rPr>
          <w:tab/>
        </w:r>
        <w:r w:rsidR="003545ED">
          <w:rPr>
            <w:noProof/>
            <w:webHidden/>
          </w:rPr>
          <w:fldChar w:fldCharType="begin"/>
        </w:r>
        <w:r w:rsidR="003545ED">
          <w:rPr>
            <w:noProof/>
            <w:webHidden/>
          </w:rPr>
          <w:instrText xml:space="preserve"> PAGEREF _Toc386699731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3F1550C5" w14:textId="77777777" w:rsidR="003545ED" w:rsidRDefault="0004019F">
      <w:pPr>
        <w:pStyle w:val="TOC2"/>
        <w:tabs>
          <w:tab w:val="right" w:leader="dot" w:pos="9350"/>
        </w:tabs>
        <w:rPr>
          <w:rFonts w:asciiTheme="minorHAnsi" w:eastAsiaTheme="minorEastAsia" w:hAnsiTheme="minorHAnsi" w:cstheme="minorBidi"/>
          <w:noProof/>
          <w:szCs w:val="22"/>
        </w:rPr>
      </w:pPr>
      <w:hyperlink w:anchor="_Toc386699732" w:history="1">
        <w:r w:rsidR="003545ED" w:rsidRPr="007F48A1">
          <w:rPr>
            <w:rStyle w:val="Hyperlink"/>
            <w:noProof/>
          </w:rPr>
          <w:t>4.3 Incremental &amp; Full Measure Costs</w:t>
        </w:r>
        <w:r w:rsidR="003545ED">
          <w:rPr>
            <w:noProof/>
            <w:webHidden/>
          </w:rPr>
          <w:tab/>
        </w:r>
        <w:r w:rsidR="003545ED">
          <w:rPr>
            <w:noProof/>
            <w:webHidden/>
          </w:rPr>
          <w:fldChar w:fldCharType="begin"/>
        </w:r>
        <w:r w:rsidR="003545ED">
          <w:rPr>
            <w:noProof/>
            <w:webHidden/>
          </w:rPr>
          <w:instrText xml:space="preserve"> PAGEREF _Toc386699732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2FC87C98" w14:textId="77777777" w:rsidR="003545ED" w:rsidRDefault="0004019F">
      <w:pPr>
        <w:pStyle w:val="TOC1"/>
        <w:rPr>
          <w:rFonts w:asciiTheme="minorHAnsi" w:eastAsiaTheme="minorEastAsia" w:hAnsiTheme="minorHAnsi" w:cstheme="minorBidi"/>
          <w:noProof/>
          <w:szCs w:val="22"/>
        </w:rPr>
      </w:pPr>
      <w:hyperlink w:anchor="_Toc386699733" w:history="1">
        <w:r w:rsidR="003545ED" w:rsidRPr="007F48A1">
          <w:rPr>
            <w:rStyle w:val="Hyperlink"/>
            <w:i/>
            <w:noProof/>
          </w:rPr>
          <w:t>4.3.1 Full Measure Cost</w:t>
        </w:r>
        <w:r w:rsidR="003545ED">
          <w:rPr>
            <w:noProof/>
            <w:webHidden/>
          </w:rPr>
          <w:tab/>
        </w:r>
        <w:r w:rsidR="003545ED">
          <w:rPr>
            <w:noProof/>
            <w:webHidden/>
          </w:rPr>
          <w:fldChar w:fldCharType="begin"/>
        </w:r>
        <w:r w:rsidR="003545ED">
          <w:rPr>
            <w:noProof/>
            <w:webHidden/>
          </w:rPr>
          <w:instrText xml:space="preserve"> PAGEREF _Toc386699733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3960A3B1" w14:textId="77777777" w:rsidR="003545ED" w:rsidRDefault="0004019F">
      <w:pPr>
        <w:pStyle w:val="TOC1"/>
        <w:rPr>
          <w:rFonts w:asciiTheme="minorHAnsi" w:eastAsiaTheme="minorEastAsia" w:hAnsiTheme="minorHAnsi" w:cstheme="minorBidi"/>
          <w:noProof/>
          <w:szCs w:val="22"/>
        </w:rPr>
      </w:pPr>
      <w:hyperlink w:anchor="_Toc386699734" w:history="1">
        <w:r w:rsidR="003545ED" w:rsidRPr="007F48A1">
          <w:rPr>
            <w:rStyle w:val="Hyperlink"/>
            <w:i/>
            <w:noProof/>
          </w:rPr>
          <w:t>4.3.2 Incremental Measure Costs</w:t>
        </w:r>
        <w:r w:rsidR="003545ED">
          <w:rPr>
            <w:noProof/>
            <w:webHidden/>
          </w:rPr>
          <w:tab/>
        </w:r>
        <w:r w:rsidR="003545ED">
          <w:rPr>
            <w:noProof/>
            <w:webHidden/>
          </w:rPr>
          <w:fldChar w:fldCharType="begin"/>
        </w:r>
        <w:r w:rsidR="003545ED">
          <w:rPr>
            <w:noProof/>
            <w:webHidden/>
          </w:rPr>
          <w:instrText xml:space="preserve"> PAGEREF _Toc386699734 \h </w:instrText>
        </w:r>
        <w:r w:rsidR="003545ED">
          <w:rPr>
            <w:noProof/>
            <w:webHidden/>
          </w:rPr>
        </w:r>
        <w:r w:rsidR="003545ED">
          <w:rPr>
            <w:noProof/>
            <w:webHidden/>
          </w:rPr>
          <w:fldChar w:fldCharType="separate"/>
        </w:r>
        <w:r w:rsidR="003545ED">
          <w:rPr>
            <w:noProof/>
            <w:webHidden/>
          </w:rPr>
          <w:t>7</w:t>
        </w:r>
        <w:r w:rsidR="003545ED">
          <w:rPr>
            <w:noProof/>
            <w:webHidden/>
          </w:rPr>
          <w:fldChar w:fldCharType="end"/>
        </w:r>
      </w:hyperlink>
    </w:p>
    <w:p w14:paraId="4B749A49" w14:textId="77777777" w:rsidR="003545ED" w:rsidRDefault="0004019F">
      <w:pPr>
        <w:pStyle w:val="TOC1"/>
        <w:rPr>
          <w:rFonts w:asciiTheme="minorHAnsi" w:eastAsiaTheme="minorEastAsia" w:hAnsiTheme="minorHAnsi" w:cstheme="minorBidi"/>
          <w:noProof/>
          <w:szCs w:val="22"/>
        </w:rPr>
      </w:pPr>
      <w:hyperlink w:anchor="_Toc386699735" w:history="1">
        <w:r w:rsidR="003545ED" w:rsidRPr="007F48A1">
          <w:rPr>
            <w:rStyle w:val="Hyperlink"/>
            <w:noProof/>
          </w:rPr>
          <w:t>References</w:t>
        </w:r>
        <w:r w:rsidR="003545ED">
          <w:rPr>
            <w:noProof/>
            <w:webHidden/>
          </w:rPr>
          <w:tab/>
        </w:r>
        <w:r w:rsidR="003545ED">
          <w:rPr>
            <w:noProof/>
            <w:webHidden/>
          </w:rPr>
          <w:fldChar w:fldCharType="begin"/>
        </w:r>
        <w:r w:rsidR="003545ED">
          <w:rPr>
            <w:noProof/>
            <w:webHidden/>
          </w:rPr>
          <w:instrText xml:space="preserve"> PAGEREF _Toc386699735 \h </w:instrText>
        </w:r>
        <w:r w:rsidR="003545ED">
          <w:rPr>
            <w:noProof/>
            <w:webHidden/>
          </w:rPr>
        </w:r>
        <w:r w:rsidR="003545ED">
          <w:rPr>
            <w:noProof/>
            <w:webHidden/>
          </w:rPr>
          <w:fldChar w:fldCharType="separate"/>
        </w:r>
        <w:r w:rsidR="003545ED">
          <w:rPr>
            <w:noProof/>
            <w:webHidden/>
          </w:rPr>
          <w:t>8</w:t>
        </w:r>
        <w:r w:rsidR="003545ED">
          <w:rPr>
            <w:noProof/>
            <w:webHidden/>
          </w:rPr>
          <w:fldChar w:fldCharType="end"/>
        </w:r>
      </w:hyperlink>
    </w:p>
    <w:p w14:paraId="393A0A92" w14:textId="2634E930" w:rsidR="001E4C31" w:rsidRDefault="00F10E38">
      <w:r>
        <w:fldChar w:fldCharType="end"/>
      </w:r>
    </w:p>
    <w:p w14:paraId="393A0A93" w14:textId="77777777" w:rsidR="00ED21EE" w:rsidRDefault="006559C8" w:rsidP="00ED21EE">
      <w:pPr>
        <w:pStyle w:val="Heading1"/>
      </w:pPr>
      <w:r>
        <w:br w:type="page"/>
      </w:r>
      <w:bookmarkStart w:id="27" w:name="_Toc172205729"/>
      <w:bookmarkStart w:id="28" w:name="_Toc304800199"/>
      <w:bookmarkStart w:id="29" w:name="_Toc324318335"/>
      <w:bookmarkStart w:id="30" w:name="_Toc324340479"/>
      <w:bookmarkStart w:id="31" w:name="_Toc386699711"/>
      <w:r w:rsidR="00ED21EE">
        <w:lastRenderedPageBreak/>
        <w:t>List of Tables</w:t>
      </w:r>
      <w:bookmarkEnd w:id="27"/>
      <w:bookmarkEnd w:id="28"/>
      <w:bookmarkEnd w:id="29"/>
      <w:bookmarkEnd w:id="30"/>
      <w:bookmarkEnd w:id="31"/>
    </w:p>
    <w:p w14:paraId="4A1586A0" w14:textId="77777777" w:rsidR="00C95412"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86010916" w:history="1">
        <w:r w:rsidR="00C95412" w:rsidRPr="009F3E01">
          <w:rPr>
            <w:rStyle w:val="Hyperlink"/>
            <w:noProof/>
          </w:rPr>
          <w:t>Table 1</w:t>
        </w:r>
        <w:r w:rsidR="00C95412" w:rsidRPr="009F3E01">
          <w:rPr>
            <w:rStyle w:val="Hyperlink"/>
            <w:rFonts w:ascii="Calibri" w:hAnsi="Calibri" w:cs="Calibri"/>
            <w:noProof/>
          </w:rPr>
          <w:t xml:space="preserve"> </w:t>
        </w:r>
        <w:r w:rsidR="00C95412" w:rsidRPr="009F3E01">
          <w:rPr>
            <w:rStyle w:val="Hyperlink"/>
            <w:rFonts w:cs="Arial"/>
            <w:noProof/>
          </w:rPr>
          <w:t>Measure Application Type</w:t>
        </w:r>
        <w:r w:rsidR="00C95412">
          <w:rPr>
            <w:noProof/>
            <w:webHidden/>
          </w:rPr>
          <w:tab/>
        </w:r>
        <w:r w:rsidR="00C95412">
          <w:rPr>
            <w:noProof/>
            <w:webHidden/>
          </w:rPr>
          <w:fldChar w:fldCharType="begin"/>
        </w:r>
        <w:r w:rsidR="00C95412">
          <w:rPr>
            <w:noProof/>
            <w:webHidden/>
          </w:rPr>
          <w:instrText xml:space="preserve"> PAGEREF _Toc386010916 \h </w:instrText>
        </w:r>
        <w:r w:rsidR="00C95412">
          <w:rPr>
            <w:noProof/>
            <w:webHidden/>
          </w:rPr>
        </w:r>
        <w:r w:rsidR="00C95412">
          <w:rPr>
            <w:noProof/>
            <w:webHidden/>
          </w:rPr>
          <w:fldChar w:fldCharType="separate"/>
        </w:r>
        <w:r w:rsidR="00C95412">
          <w:rPr>
            <w:noProof/>
            <w:webHidden/>
          </w:rPr>
          <w:t>1</w:t>
        </w:r>
        <w:r w:rsidR="00C95412">
          <w:rPr>
            <w:noProof/>
            <w:webHidden/>
          </w:rPr>
          <w:fldChar w:fldCharType="end"/>
        </w:r>
      </w:hyperlink>
    </w:p>
    <w:p w14:paraId="36DA9166" w14:textId="77777777" w:rsidR="00C95412" w:rsidRDefault="0004019F">
      <w:pPr>
        <w:pStyle w:val="TableofFigures"/>
        <w:tabs>
          <w:tab w:val="right" w:leader="dot" w:pos="9350"/>
        </w:tabs>
        <w:rPr>
          <w:rFonts w:asciiTheme="minorHAnsi" w:eastAsiaTheme="minorEastAsia" w:hAnsiTheme="minorHAnsi" w:cstheme="minorBidi"/>
          <w:noProof/>
          <w:szCs w:val="22"/>
        </w:rPr>
      </w:pPr>
      <w:hyperlink w:anchor="_Toc386010917" w:history="1">
        <w:r w:rsidR="00C95412" w:rsidRPr="009F3E01">
          <w:rPr>
            <w:rStyle w:val="Hyperlink"/>
            <w:rFonts w:cs="Arial"/>
            <w:noProof/>
          </w:rPr>
          <w:t>Table 2 DEER Net-to-Gross Ratios</w:t>
        </w:r>
        <w:r w:rsidR="00C95412">
          <w:rPr>
            <w:noProof/>
            <w:webHidden/>
          </w:rPr>
          <w:tab/>
        </w:r>
        <w:r w:rsidR="00C95412">
          <w:rPr>
            <w:noProof/>
            <w:webHidden/>
          </w:rPr>
          <w:fldChar w:fldCharType="begin"/>
        </w:r>
        <w:r w:rsidR="00C95412">
          <w:rPr>
            <w:noProof/>
            <w:webHidden/>
          </w:rPr>
          <w:instrText xml:space="preserve"> PAGEREF _Toc386010917 \h </w:instrText>
        </w:r>
        <w:r w:rsidR="00C95412">
          <w:rPr>
            <w:noProof/>
            <w:webHidden/>
          </w:rPr>
        </w:r>
        <w:r w:rsidR="00C95412">
          <w:rPr>
            <w:noProof/>
            <w:webHidden/>
          </w:rPr>
          <w:fldChar w:fldCharType="separate"/>
        </w:r>
        <w:r w:rsidR="00C95412">
          <w:rPr>
            <w:noProof/>
            <w:webHidden/>
          </w:rPr>
          <w:t>2</w:t>
        </w:r>
        <w:r w:rsidR="00C95412">
          <w:rPr>
            <w:noProof/>
            <w:webHidden/>
          </w:rPr>
          <w:fldChar w:fldCharType="end"/>
        </w:r>
      </w:hyperlink>
    </w:p>
    <w:p w14:paraId="7A08D7C2" w14:textId="77777777" w:rsidR="00C95412" w:rsidRDefault="0004019F">
      <w:pPr>
        <w:pStyle w:val="TableofFigures"/>
        <w:tabs>
          <w:tab w:val="right" w:leader="dot" w:pos="9350"/>
        </w:tabs>
        <w:rPr>
          <w:rFonts w:asciiTheme="minorHAnsi" w:eastAsiaTheme="minorEastAsia" w:hAnsiTheme="minorHAnsi" w:cstheme="minorBidi"/>
          <w:noProof/>
          <w:szCs w:val="22"/>
        </w:rPr>
      </w:pPr>
      <w:hyperlink w:anchor="_Toc386010918" w:history="1">
        <w:r w:rsidR="00C95412" w:rsidRPr="009F3E01">
          <w:rPr>
            <w:rStyle w:val="Hyperlink"/>
            <w:rFonts w:cs="Arial"/>
            <w:noProof/>
          </w:rPr>
          <w:t>Table 6 TOU Adjustment Factors</w:t>
        </w:r>
        <w:r w:rsidR="00C95412">
          <w:rPr>
            <w:noProof/>
            <w:webHidden/>
          </w:rPr>
          <w:tab/>
        </w:r>
        <w:r w:rsidR="00C95412">
          <w:rPr>
            <w:noProof/>
            <w:webHidden/>
          </w:rPr>
          <w:fldChar w:fldCharType="begin"/>
        </w:r>
        <w:r w:rsidR="00C95412">
          <w:rPr>
            <w:noProof/>
            <w:webHidden/>
          </w:rPr>
          <w:instrText xml:space="preserve"> PAGEREF _Toc386010918 \h </w:instrText>
        </w:r>
        <w:r w:rsidR="00C95412">
          <w:rPr>
            <w:noProof/>
            <w:webHidden/>
          </w:rPr>
        </w:r>
        <w:r w:rsidR="00C95412">
          <w:rPr>
            <w:noProof/>
            <w:webHidden/>
          </w:rPr>
          <w:fldChar w:fldCharType="separate"/>
        </w:r>
        <w:r w:rsidR="00C95412">
          <w:rPr>
            <w:noProof/>
            <w:webHidden/>
          </w:rPr>
          <w:t>3</w:t>
        </w:r>
        <w:r w:rsidR="00C95412">
          <w:rPr>
            <w:noProof/>
            <w:webHidden/>
          </w:rPr>
          <w:fldChar w:fldCharType="end"/>
        </w:r>
      </w:hyperlink>
    </w:p>
    <w:p w14:paraId="404A2849" w14:textId="77777777" w:rsidR="00C95412" w:rsidRDefault="0004019F">
      <w:pPr>
        <w:pStyle w:val="TableofFigures"/>
        <w:tabs>
          <w:tab w:val="right" w:leader="dot" w:pos="9350"/>
        </w:tabs>
        <w:rPr>
          <w:rFonts w:asciiTheme="minorHAnsi" w:eastAsiaTheme="minorEastAsia" w:hAnsiTheme="minorHAnsi" w:cstheme="minorBidi"/>
          <w:noProof/>
          <w:szCs w:val="22"/>
        </w:rPr>
      </w:pPr>
      <w:hyperlink w:anchor="_Toc386010919" w:history="1">
        <w:r w:rsidR="00C95412" w:rsidRPr="009F3E01">
          <w:rPr>
            <w:rStyle w:val="Hyperlink"/>
            <w:noProof/>
          </w:rPr>
          <w:t>Table 7 Baseline by Measure Application Type</w:t>
        </w:r>
        <w:r w:rsidR="00C95412">
          <w:rPr>
            <w:noProof/>
            <w:webHidden/>
          </w:rPr>
          <w:tab/>
        </w:r>
        <w:r w:rsidR="00C95412">
          <w:rPr>
            <w:noProof/>
            <w:webHidden/>
          </w:rPr>
          <w:fldChar w:fldCharType="begin"/>
        </w:r>
        <w:r w:rsidR="00C95412">
          <w:rPr>
            <w:noProof/>
            <w:webHidden/>
          </w:rPr>
          <w:instrText xml:space="preserve"> PAGEREF _Toc386010919 \h </w:instrText>
        </w:r>
        <w:r w:rsidR="00C95412">
          <w:rPr>
            <w:noProof/>
            <w:webHidden/>
          </w:rPr>
        </w:r>
        <w:r w:rsidR="00C95412">
          <w:rPr>
            <w:noProof/>
            <w:webHidden/>
          </w:rPr>
          <w:fldChar w:fldCharType="separate"/>
        </w:r>
        <w:r w:rsidR="00C95412">
          <w:rPr>
            <w:noProof/>
            <w:webHidden/>
          </w:rPr>
          <w:t>4</w:t>
        </w:r>
        <w:r w:rsidR="00C95412">
          <w:rPr>
            <w:noProof/>
            <w:webHidden/>
          </w:rPr>
          <w:fldChar w:fldCharType="end"/>
        </w:r>
      </w:hyperlink>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32" w:name="_Toc174179832"/>
      <w:bookmarkStart w:id="33" w:name="_Toc174181292"/>
      <w:bookmarkStart w:id="34" w:name="_Toc304800200"/>
      <w:bookmarkStart w:id="35" w:name="_Toc324318336"/>
      <w:bookmarkStart w:id="36" w:name="_Toc324340480"/>
      <w:bookmarkStart w:id="37" w:name="_Toc386699712"/>
      <w:r>
        <w:t>List of Figures</w:t>
      </w:r>
      <w:bookmarkEnd w:id="32"/>
      <w:bookmarkEnd w:id="33"/>
      <w:bookmarkEnd w:id="34"/>
      <w:bookmarkEnd w:id="35"/>
      <w:bookmarkEnd w:id="36"/>
      <w:bookmarkEnd w:id="37"/>
    </w:p>
    <w:p w14:paraId="393A0A9F" w14:textId="77777777" w:rsidR="005A1F9D" w:rsidRDefault="0004019F" w:rsidP="005A1F9D">
      <w:r>
        <w:fldChar w:fldCharType="begin"/>
      </w:r>
      <w:r>
        <w:instrText xml:space="preserve"> TOC \h \z \c "Figure" </w:instrText>
      </w:r>
      <w:r>
        <w:fldChar w:fldCharType="separate"/>
      </w:r>
      <w:r w:rsidR="00056348">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8" w:name="_Toc304800201"/>
      <w:bookmarkStart w:id="39" w:name="_Toc324318337"/>
      <w:bookmarkStart w:id="40" w:name="_Toc324340481"/>
      <w:bookmarkStart w:id="41" w:name="_Toc172205732"/>
    </w:p>
    <w:p w14:paraId="393A0AA1" w14:textId="77777777" w:rsidR="00ED21EE" w:rsidRDefault="00ED21EE" w:rsidP="00ED21EE">
      <w:pPr>
        <w:pStyle w:val="Heading1"/>
      </w:pPr>
      <w:bookmarkStart w:id="42" w:name="_Toc386699713"/>
      <w:proofErr w:type="gramStart"/>
      <w:r>
        <w:lastRenderedPageBreak/>
        <w:t>Section 1.</w:t>
      </w:r>
      <w:proofErr w:type="gramEnd"/>
      <w:r>
        <w:t xml:space="preserve"> General Measure &amp; Baseline Data</w:t>
      </w:r>
      <w:bookmarkEnd w:id="38"/>
      <w:bookmarkEnd w:id="39"/>
      <w:bookmarkEnd w:id="40"/>
      <w:bookmarkEnd w:id="42"/>
    </w:p>
    <w:p w14:paraId="393A0AA2" w14:textId="77777777" w:rsidR="00E71EF1" w:rsidRDefault="001248A3" w:rsidP="001248A3">
      <w:pPr>
        <w:pStyle w:val="Heading2"/>
      </w:pPr>
      <w:bookmarkStart w:id="43" w:name="_Toc304800202"/>
      <w:bookmarkStart w:id="44" w:name="_Toc324318338"/>
      <w:bookmarkStart w:id="45" w:name="_Toc324340482"/>
      <w:bookmarkStart w:id="46" w:name="_Toc386699714"/>
      <w:bookmarkEnd w:id="41"/>
      <w:r>
        <w:t xml:space="preserve">1.1 </w:t>
      </w:r>
      <w:r w:rsidR="008C6AD1">
        <w:t xml:space="preserve">Product </w:t>
      </w:r>
      <w:r w:rsidR="00E71EF1" w:rsidRPr="001248A3">
        <w:t>Measure Description &amp; Background</w:t>
      </w:r>
      <w:bookmarkEnd w:id="43"/>
      <w:bookmarkEnd w:id="44"/>
      <w:bookmarkEnd w:id="45"/>
      <w:bookmarkEnd w:id="46"/>
    </w:p>
    <w:p w14:paraId="393A0AA3" w14:textId="2E7725A7" w:rsidR="00F81A41" w:rsidRPr="00A562A6" w:rsidRDefault="00521920" w:rsidP="00F81A41">
      <w:pPr>
        <w:rPr>
          <w:rFonts w:cs="Arial"/>
          <w:b/>
          <w:i/>
          <w:sz w:val="20"/>
          <w:szCs w:val="20"/>
        </w:rPr>
      </w:pPr>
      <w:r w:rsidRPr="00521920">
        <w:rPr>
          <w:rFonts w:cs="Arial"/>
          <w:b/>
          <w:i/>
        </w:rPr>
        <w:t>Catalog Description</w:t>
      </w:r>
      <w:r w:rsidR="00E840FE">
        <w:rPr>
          <w:rFonts w:cs="Arial"/>
          <w:b/>
          <w:i/>
        </w:rPr>
        <w:t xml:space="preserve"> – </w:t>
      </w:r>
    </w:p>
    <w:p w14:paraId="393A0AA4" w14:textId="13AAC261" w:rsidR="00521920" w:rsidRDefault="00F81A41" w:rsidP="00872913">
      <w:pPr>
        <w:rPr>
          <w:rFonts w:cs="Arial"/>
          <w:sz w:val="20"/>
          <w:szCs w:val="20"/>
        </w:rPr>
      </w:pPr>
      <w:r>
        <w:rPr>
          <w:rFonts w:cs="Arial"/>
          <w:sz w:val="20"/>
          <w:szCs w:val="20"/>
        </w:rPr>
        <w:t>This measure requires the installation of a variable frequency drive and associated controls on a motor driving a ventilation fan.</w:t>
      </w:r>
    </w:p>
    <w:p w14:paraId="39F3D13D" w14:textId="77777777" w:rsidR="00F81A41" w:rsidRPr="00F81A41" w:rsidRDefault="00F81A41" w:rsidP="00F81A41">
      <w:pPr>
        <w:autoSpaceDE w:val="0"/>
        <w:autoSpaceDN w:val="0"/>
        <w:adjustRightInd w:val="0"/>
        <w:ind w:left="720"/>
        <w:rPr>
          <w:rFonts w:cs="Arial"/>
          <w:b/>
          <w:i/>
          <w:sz w:val="20"/>
          <w:szCs w:val="20"/>
        </w:rPr>
      </w:pPr>
      <w:r w:rsidRPr="00F81A41">
        <w:rPr>
          <w:rFonts w:cs="Arial"/>
          <w:b/>
          <w:i/>
          <w:sz w:val="20"/>
          <w:szCs w:val="20"/>
        </w:rPr>
        <w:t>Requirements:</w:t>
      </w:r>
    </w:p>
    <w:p w14:paraId="59AED7D1" w14:textId="77777777" w:rsidR="00F81A41" w:rsidRP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Installation address must have a commercial electric account with PG&amp;E.</w:t>
      </w:r>
    </w:p>
    <w:p w14:paraId="1BBEFEF2" w14:textId="77777777" w:rsid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Drives must be applied to existing HVAC supply or return air fans only.</w:t>
      </w:r>
    </w:p>
    <w:p w14:paraId="18EFC52E" w14:textId="09474BA1" w:rsidR="00F81A41" w:rsidRP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Eligible for a rebate only if throttling devices, such as inlet vanes or bypass dampers and throttling</w:t>
      </w:r>
      <w:r w:rsidRPr="00F81A41">
        <w:rPr>
          <w:rFonts w:cs="Arial"/>
          <w:color w:val="000000"/>
          <w:sz w:val="20"/>
          <w:szCs w:val="20"/>
        </w:rPr>
        <w:t xml:space="preserve"> valves, are removed or permanently disabled.</w:t>
      </w:r>
    </w:p>
    <w:p w14:paraId="2BEC540E" w14:textId="77777777" w:rsidR="00F81A41" w:rsidRPr="00F81A41" w:rsidRDefault="00F81A41" w:rsidP="00872913">
      <w:pPr>
        <w:rPr>
          <w:rFonts w:cs="Arial"/>
          <w:sz w:val="20"/>
          <w:szCs w:val="20"/>
        </w:rPr>
      </w:pPr>
    </w:p>
    <w:p w14:paraId="393A0AA5" w14:textId="77777777" w:rsidR="00521920" w:rsidRDefault="00521920" w:rsidP="00872913">
      <w:pPr>
        <w:rPr>
          <w:rFonts w:cs="Arial"/>
          <w:b/>
          <w:i/>
        </w:rPr>
      </w:pPr>
      <w:r>
        <w:rPr>
          <w:rFonts w:cs="Arial"/>
          <w:b/>
          <w:i/>
        </w:rPr>
        <w:t>Program Restrictions and Guidelines</w:t>
      </w:r>
    </w:p>
    <w:p w14:paraId="3966C873" w14:textId="77777777" w:rsidR="001D513D" w:rsidRPr="001D513D" w:rsidRDefault="001D513D" w:rsidP="00872913">
      <w:pPr>
        <w:rPr>
          <w:rFonts w:cs="Arial"/>
          <w:b/>
          <w:i/>
          <w:sz w:val="20"/>
        </w:rPr>
      </w:pPr>
    </w:p>
    <w:p w14:paraId="393A0AA7" w14:textId="6F242856" w:rsidR="00521920"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15BBA1D7" w14:textId="77777777" w:rsidR="001D513D" w:rsidRPr="00F81A41" w:rsidRDefault="001D513D" w:rsidP="001D513D">
      <w:pPr>
        <w:ind w:left="720"/>
        <w:rPr>
          <w:rFonts w:cs="Arial"/>
          <w:b/>
          <w:i/>
          <w:sz w:val="20"/>
          <w:szCs w:val="20"/>
        </w:rPr>
      </w:pPr>
      <w:r w:rsidRPr="00F81A41">
        <w:rPr>
          <w:rFonts w:cs="Arial"/>
          <w:b/>
          <w:i/>
          <w:sz w:val="20"/>
          <w:szCs w:val="20"/>
        </w:rPr>
        <w:t>Exclusions</w:t>
      </w:r>
    </w:p>
    <w:p w14:paraId="5A3C6EA6" w14:textId="77777777" w:rsidR="001D513D" w:rsidRPr="00F81A41" w:rsidRDefault="001D513D" w:rsidP="001D513D">
      <w:pPr>
        <w:numPr>
          <w:ilvl w:val="0"/>
          <w:numId w:val="20"/>
        </w:numPr>
        <w:autoSpaceDE w:val="0"/>
        <w:autoSpaceDN w:val="0"/>
        <w:adjustRightInd w:val="0"/>
        <w:rPr>
          <w:rFonts w:cs="Arial"/>
          <w:sz w:val="20"/>
          <w:szCs w:val="20"/>
        </w:rPr>
      </w:pPr>
      <w:r w:rsidRPr="00F81A41">
        <w:rPr>
          <w:rFonts w:cs="Arial"/>
          <w:sz w:val="20"/>
          <w:szCs w:val="20"/>
        </w:rPr>
        <w:t>Fans of size greater than 100 horsepower (</w:t>
      </w:r>
      <w:proofErr w:type="spellStart"/>
      <w:r w:rsidRPr="00F81A41">
        <w:rPr>
          <w:rFonts w:cs="Arial"/>
          <w:sz w:val="20"/>
          <w:szCs w:val="20"/>
        </w:rPr>
        <w:t>hp</w:t>
      </w:r>
      <w:proofErr w:type="spellEnd"/>
      <w:r w:rsidRPr="00F81A41">
        <w:rPr>
          <w:rFonts w:cs="Arial"/>
          <w:sz w:val="20"/>
          <w:szCs w:val="20"/>
        </w:rPr>
        <w:t>) are not eligible for this rebate.</w:t>
      </w:r>
    </w:p>
    <w:p w14:paraId="5B6DC353" w14:textId="77777777" w:rsidR="001D513D" w:rsidRPr="00F81A41" w:rsidRDefault="001D513D" w:rsidP="001D513D">
      <w:pPr>
        <w:numPr>
          <w:ilvl w:val="0"/>
          <w:numId w:val="20"/>
        </w:numPr>
        <w:autoSpaceDE w:val="0"/>
        <w:autoSpaceDN w:val="0"/>
        <w:adjustRightInd w:val="0"/>
        <w:rPr>
          <w:rFonts w:cs="Arial"/>
          <w:sz w:val="20"/>
          <w:szCs w:val="20"/>
        </w:rPr>
      </w:pPr>
      <w:r w:rsidRPr="00F81A41">
        <w:rPr>
          <w:rFonts w:cs="Arial"/>
          <w:sz w:val="20"/>
          <w:szCs w:val="20"/>
        </w:rPr>
        <w:t xml:space="preserve">Replacement Multiple-Speed or Variable Speed Motor (VSM) </w:t>
      </w:r>
      <w:proofErr w:type="gramStart"/>
      <w:r w:rsidRPr="00F81A41">
        <w:rPr>
          <w:rFonts w:cs="Arial"/>
          <w:sz w:val="20"/>
          <w:szCs w:val="20"/>
        </w:rPr>
        <w:t>are</w:t>
      </w:r>
      <w:proofErr w:type="gramEnd"/>
      <w:r w:rsidRPr="00F81A41">
        <w:rPr>
          <w:rFonts w:cs="Arial"/>
          <w:sz w:val="20"/>
          <w:szCs w:val="20"/>
        </w:rPr>
        <w:t xml:space="preserve"> not eligible for a rebate. See applicable VSM rebate. </w:t>
      </w:r>
    </w:p>
    <w:p w14:paraId="592C5B69" w14:textId="0F688FF1" w:rsidR="001D513D" w:rsidRPr="001D513D" w:rsidRDefault="001D513D" w:rsidP="001D513D">
      <w:pPr>
        <w:numPr>
          <w:ilvl w:val="0"/>
          <w:numId w:val="20"/>
        </w:numPr>
        <w:autoSpaceDE w:val="0"/>
        <w:autoSpaceDN w:val="0"/>
        <w:adjustRightInd w:val="0"/>
        <w:rPr>
          <w:rFonts w:ascii="DIN-Regular" w:hAnsi="DIN-Regular" w:cs="DIN-Regular"/>
          <w:szCs w:val="22"/>
        </w:rPr>
      </w:pPr>
      <w:r w:rsidRPr="00F81A41">
        <w:rPr>
          <w:rFonts w:cs="Arial"/>
          <w:sz w:val="20"/>
          <w:szCs w:val="20"/>
        </w:rPr>
        <w:t>VFDs on cooling towers fans are not eligible for this rebate.</w:t>
      </w:r>
    </w:p>
    <w:p w14:paraId="271F50E5" w14:textId="77777777" w:rsidR="00FD1F31" w:rsidRPr="00FD1F31" w:rsidRDefault="00FD1F31" w:rsidP="00480BAD">
      <w:pPr>
        <w:ind w:left="360"/>
        <w:rPr>
          <w:rFonts w:cs="Arial"/>
          <w:sz w:val="20"/>
          <w:szCs w:val="20"/>
        </w:rPr>
      </w:pPr>
    </w:p>
    <w:p w14:paraId="34FD1383" w14:textId="77777777" w:rsidR="00F81A41" w:rsidRDefault="00521920" w:rsidP="00F81A41">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p>
    <w:p w14:paraId="393A0AAB" w14:textId="776F2F43" w:rsidR="00197A23" w:rsidRPr="003545ED" w:rsidRDefault="00F81A41" w:rsidP="003545ED">
      <w:pPr>
        <w:ind w:left="360"/>
        <w:rPr>
          <w:rFonts w:cs="Arial"/>
          <w:b/>
          <w:i/>
          <w:sz w:val="20"/>
          <w:szCs w:val="20"/>
        </w:rPr>
      </w:pPr>
      <w:r w:rsidRPr="00F81A41">
        <w:rPr>
          <w:rFonts w:cs="Arial"/>
          <w:sz w:val="20"/>
          <w:szCs w:val="20"/>
        </w:rPr>
        <w:t>This measure applies to most commercial and industrial facilities, including but not limited to offices, retail, schools, colleges, hotels, motels, and hospital facilities.</w:t>
      </w:r>
      <w:r w:rsidR="00990B62">
        <w:rPr>
          <w:rFonts w:cs="Arial"/>
          <w:sz w:val="20"/>
          <w:szCs w:val="20"/>
        </w:rPr>
        <w:t xml:space="preserve"> The measure application type is retrofit add on. The incentive will be provided through downstream and </w:t>
      </w:r>
      <w:r w:rsidR="00FD1F31">
        <w:rPr>
          <w:rFonts w:cs="Arial"/>
          <w:sz w:val="20"/>
          <w:szCs w:val="20"/>
        </w:rPr>
        <w:t>midstream/</w:t>
      </w:r>
      <w:r w:rsidR="00990B62">
        <w:rPr>
          <w:rFonts w:cs="Arial"/>
          <w:sz w:val="20"/>
          <w:szCs w:val="20"/>
        </w:rPr>
        <w:t>direct install distribution channels.</w:t>
      </w:r>
    </w:p>
    <w:p w14:paraId="393A0AAC" w14:textId="77777777" w:rsidR="00521920" w:rsidRPr="00806070" w:rsidRDefault="00806070" w:rsidP="003545ED">
      <w:pPr>
        <w:pStyle w:val="Heading2"/>
        <w:rPr>
          <w:b w:val="0"/>
          <w:i w:val="0"/>
        </w:rPr>
      </w:pPr>
      <w:bookmarkStart w:id="47" w:name="_Toc386699715"/>
      <w:r>
        <w:t xml:space="preserve">1.2 Product </w:t>
      </w:r>
      <w:r w:rsidR="00521920" w:rsidRPr="00806070">
        <w:t>Technical Description</w:t>
      </w:r>
      <w:bookmarkEnd w:id="47"/>
    </w:p>
    <w:p w14:paraId="393A0AAD" w14:textId="0B969A0C" w:rsidR="00872913" w:rsidRPr="001D513D" w:rsidRDefault="00F81A41" w:rsidP="00872913">
      <w:pPr>
        <w:rPr>
          <w:rFonts w:cs="Arial"/>
          <w:b/>
          <w:i/>
          <w:sz w:val="18"/>
          <w:szCs w:val="20"/>
        </w:rPr>
      </w:pPr>
      <w:r w:rsidRPr="001D513D">
        <w:rPr>
          <w:rFonts w:cs="Arial"/>
          <w:sz w:val="20"/>
          <w:szCs w:val="22"/>
        </w:rPr>
        <w:t>Energy usage in constant-speed HVAC systems can be reduced by installing electronic VFDs on ventilation fans. VFDs are a far more efficient method of regulating speed or torque than throttling valves, inlet vanes and fan dampers. Installing a VFD on the fan motor will enable the fan to slow down more efficiently whenever the building load allows it, saving fan energy. Due to the fan affinity laws, a small reduction in fan speed results in significant energy savings.</w:t>
      </w:r>
    </w:p>
    <w:p w14:paraId="1D9AA711" w14:textId="77777777" w:rsidR="00895837" w:rsidRDefault="00895837">
      <w:pPr>
        <w:rPr>
          <w:rFonts w:cs="Arial"/>
          <w:b/>
          <w:bCs/>
          <w:i/>
          <w:iCs/>
          <w:sz w:val="28"/>
          <w:szCs w:val="28"/>
        </w:rPr>
      </w:pPr>
      <w:bookmarkStart w:id="48" w:name="_Toc304800203"/>
      <w:bookmarkStart w:id="49" w:name="_Toc324318339"/>
      <w:bookmarkStart w:id="50" w:name="_Toc324340483"/>
      <w:bookmarkStart w:id="51" w:name="_Toc386699716"/>
      <w:r>
        <w:br w:type="page"/>
      </w:r>
    </w:p>
    <w:p w14:paraId="393A0AAF" w14:textId="0E779BA4" w:rsidR="00784500" w:rsidRPr="00F81A41" w:rsidRDefault="009C5CA7" w:rsidP="00F81A41">
      <w:pPr>
        <w:pStyle w:val="Heading2"/>
        <w:keepNext w:val="0"/>
      </w:pPr>
      <w:r>
        <w:lastRenderedPageBreak/>
        <w:t>1.</w:t>
      </w:r>
      <w:r w:rsidR="00806070">
        <w:t>3</w:t>
      </w:r>
      <w:r>
        <w:t xml:space="preserve"> </w:t>
      </w:r>
      <w:r w:rsidR="002E6162">
        <w:t xml:space="preserve">Measure Application </w:t>
      </w:r>
      <w:bookmarkEnd w:id="48"/>
      <w:r w:rsidR="002E6162">
        <w:t>Type</w:t>
      </w:r>
      <w:bookmarkEnd w:id="49"/>
      <w:bookmarkEnd w:id="50"/>
      <w:bookmarkEnd w:id="51"/>
      <w:r w:rsidR="00FA595F">
        <w:t xml:space="preserve"> </w:t>
      </w:r>
    </w:p>
    <w:p w14:paraId="393A0AB0" w14:textId="77777777" w:rsidR="00784500" w:rsidRDefault="00784500" w:rsidP="009C5CA7">
      <w:pPr>
        <w:rPr>
          <w:rFonts w:cs="Arial"/>
          <w:sz w:val="20"/>
          <w:szCs w:val="20"/>
        </w:rPr>
      </w:pPr>
    </w:p>
    <w:p w14:paraId="393A0AB1" w14:textId="7777777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52" w:name="_Toc386010916"/>
      <w:r w:rsidRPr="003541A6">
        <w:t xml:space="preserve">Table </w:t>
      </w:r>
      <w:r w:rsidR="0004019F">
        <w:fldChar w:fldCharType="begin"/>
      </w:r>
      <w:r w:rsidR="0004019F">
        <w:instrText xml:space="preserve"> SEQ Table \* ARABIC </w:instrText>
      </w:r>
      <w:r w:rsidR="0004019F">
        <w:fldChar w:fldCharType="separate"/>
      </w:r>
      <w:r w:rsidR="00ED7D3D">
        <w:rPr>
          <w:noProof/>
        </w:rPr>
        <w:t>1</w:t>
      </w:r>
      <w:r w:rsidR="0004019F">
        <w:rPr>
          <w:noProof/>
        </w:rPr>
        <w:fldChar w:fldCharType="end"/>
      </w:r>
      <w:bookmarkStart w:id="53"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53"/>
      <w:r w:rsidR="00C87539">
        <w:rPr>
          <w:rStyle w:val="EndnoteReference"/>
          <w:rFonts w:cs="Arial"/>
        </w:rPr>
        <w:endnoteReference w:id="11"/>
      </w:r>
      <w:bookmarkEnd w:id="52"/>
    </w:p>
    <w:p w14:paraId="393A0AB4" w14:textId="4B42EFD5"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dentifies the measure applicati</w:t>
      </w:r>
      <w:r w:rsidR="00895837">
        <w:rPr>
          <w:rFonts w:ascii="Calibri" w:hAnsi="Calibri" w:cs="Calibri"/>
          <w:i/>
          <w:iCs/>
          <w:szCs w:val="22"/>
        </w:rPr>
        <w:t>on type in the Measure Implementa</w:t>
      </w:r>
      <w:r w:rsidRPr="00453CE7">
        <w:rPr>
          <w:rFonts w:ascii="Calibri" w:hAnsi="Calibri" w:cs="Calibri"/>
          <w:i/>
          <w:iCs/>
          <w:szCs w:val="22"/>
        </w:rPr>
        <w:t>tion table</w:t>
      </w:r>
      <w:r w:rsidR="00895837">
        <w:rPr>
          <w:rFonts w:ascii="Calibri" w:hAnsi="Calibri" w:cs="Calibri"/>
          <w:i/>
          <w:iCs/>
          <w:szCs w:val="22"/>
        </w:rPr>
        <w:t xml:space="preserve"> in DEER2014</w:t>
      </w:r>
      <w:r w:rsidR="003541A6">
        <w:rPr>
          <w:rFonts w:ascii="Calibri" w:hAnsi="Calibri" w:cs="Calibri"/>
          <w:i/>
          <w:iCs/>
          <w:szCs w:val="22"/>
        </w:rPr>
        <w:t>.</w:t>
      </w:r>
      <w:proofErr w:type="gramEnd"/>
    </w:p>
    <w:tbl>
      <w:tblPr>
        <w:tblW w:w="9090" w:type="dxa"/>
        <w:tblInd w:w="108" w:type="dxa"/>
        <w:tblLook w:val="04A0" w:firstRow="1" w:lastRow="0" w:firstColumn="1" w:lastColumn="0" w:noHBand="0" w:noVBand="1"/>
      </w:tblPr>
      <w:tblGrid>
        <w:gridCol w:w="900"/>
        <w:gridCol w:w="2610"/>
        <w:gridCol w:w="5580"/>
      </w:tblGrid>
      <w:tr w:rsidR="00895837" w:rsidRPr="00BD02D0" w14:paraId="60F43908" w14:textId="77777777" w:rsidTr="00073A54">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53794263"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6DF4C021"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617BAEF8"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Comment</w:t>
            </w:r>
          </w:p>
        </w:tc>
      </w:tr>
      <w:tr w:rsidR="00895837" w:rsidRPr="00BD02D0" w14:paraId="58DCAB64" w14:textId="77777777" w:rsidTr="00073A54">
        <w:trPr>
          <w:trHeight w:val="600"/>
        </w:trPr>
        <w:tc>
          <w:tcPr>
            <w:tcW w:w="900" w:type="dxa"/>
            <w:tcBorders>
              <w:top w:val="nil"/>
              <w:left w:val="single" w:sz="4" w:space="0" w:color="auto"/>
              <w:bottom w:val="nil"/>
              <w:right w:val="nil"/>
            </w:tcBorders>
            <w:shd w:val="clear" w:color="auto" w:fill="auto"/>
            <w:noWrap/>
            <w:vAlign w:val="center"/>
            <w:hideMark/>
          </w:tcPr>
          <w:p w14:paraId="143CD90D" w14:textId="77777777" w:rsidR="00895837" w:rsidRPr="00071448" w:rsidRDefault="00895837" w:rsidP="00073A54">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7D5F85D6" w14:textId="77777777" w:rsidR="00895837" w:rsidRPr="00071448" w:rsidRDefault="00895837" w:rsidP="00073A54">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549E52D5" w14:textId="77777777" w:rsidR="00895837" w:rsidRPr="00071448" w:rsidRDefault="00895837" w:rsidP="00073A54">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895837" w:rsidRPr="00BD02D0" w14:paraId="69411628" w14:textId="77777777" w:rsidTr="00073A54">
        <w:trPr>
          <w:trHeight w:val="600"/>
        </w:trPr>
        <w:tc>
          <w:tcPr>
            <w:tcW w:w="900" w:type="dxa"/>
            <w:tcBorders>
              <w:top w:val="nil"/>
              <w:left w:val="single" w:sz="4" w:space="0" w:color="auto"/>
              <w:bottom w:val="nil"/>
              <w:right w:val="nil"/>
            </w:tcBorders>
            <w:shd w:val="clear" w:color="auto" w:fill="auto"/>
            <w:noWrap/>
            <w:vAlign w:val="center"/>
            <w:hideMark/>
          </w:tcPr>
          <w:p w14:paraId="24A7F864" w14:textId="77777777" w:rsidR="00895837" w:rsidRPr="00071448" w:rsidRDefault="00895837" w:rsidP="00073A54">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5AF0DEBB" w14:textId="77777777" w:rsidR="00895837" w:rsidRPr="00071448" w:rsidRDefault="00895837" w:rsidP="00073A54">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659D93EF" w14:textId="77777777" w:rsidR="00895837" w:rsidRPr="00071448" w:rsidRDefault="00895837" w:rsidP="00073A54">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895837" w:rsidRPr="00BD02D0" w14:paraId="3CCDA1FD" w14:textId="77777777" w:rsidTr="00073A54">
        <w:trPr>
          <w:trHeight w:val="600"/>
        </w:trPr>
        <w:tc>
          <w:tcPr>
            <w:tcW w:w="900" w:type="dxa"/>
            <w:tcBorders>
              <w:top w:val="nil"/>
              <w:left w:val="single" w:sz="4" w:space="0" w:color="auto"/>
              <w:bottom w:val="nil"/>
              <w:right w:val="nil"/>
            </w:tcBorders>
            <w:shd w:val="clear" w:color="auto" w:fill="auto"/>
            <w:noWrap/>
            <w:vAlign w:val="center"/>
          </w:tcPr>
          <w:p w14:paraId="00FBF0AD" w14:textId="77777777" w:rsidR="00895837" w:rsidRPr="00071448" w:rsidRDefault="00895837" w:rsidP="00073A54">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5C4CBECA" w14:textId="77777777" w:rsidR="00895837" w:rsidRPr="00071448" w:rsidRDefault="00895837" w:rsidP="00073A54">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07403017" w14:textId="77777777" w:rsidR="00895837" w:rsidRPr="00071448" w:rsidRDefault="00895837" w:rsidP="00073A54">
            <w:pPr>
              <w:rPr>
                <w:rFonts w:ascii="Calibri" w:hAnsi="Calibri" w:cs="Calibri"/>
                <w:i/>
                <w:iCs/>
                <w:szCs w:val="22"/>
              </w:rPr>
            </w:pPr>
          </w:p>
          <w:p w14:paraId="4481A617" w14:textId="77777777" w:rsidR="00895837" w:rsidRPr="00071448" w:rsidRDefault="00895837" w:rsidP="00073A54">
            <w:pPr>
              <w:rPr>
                <w:rFonts w:ascii="Calibri" w:hAnsi="Calibri" w:cs="Calibri"/>
                <w:i/>
                <w:iCs/>
                <w:szCs w:val="22"/>
              </w:rPr>
            </w:pPr>
            <w:r w:rsidRPr="00B73E72">
              <w:rPr>
                <w:rFonts w:ascii="Calibri" w:hAnsi="Calibri" w:cs="Calibri"/>
                <w:i/>
                <w:iCs/>
                <w:szCs w:val="22"/>
              </w:rPr>
              <w:t>Single baseline (above code), incremental or full costs</w:t>
            </w:r>
          </w:p>
        </w:tc>
      </w:tr>
      <w:tr w:rsidR="00895837" w:rsidRPr="00BD02D0" w14:paraId="3DD0CDE5" w14:textId="77777777" w:rsidTr="00073A54">
        <w:trPr>
          <w:trHeight w:val="600"/>
        </w:trPr>
        <w:tc>
          <w:tcPr>
            <w:tcW w:w="900" w:type="dxa"/>
            <w:tcBorders>
              <w:top w:val="nil"/>
              <w:left w:val="single" w:sz="4" w:space="0" w:color="auto"/>
              <w:bottom w:val="single" w:sz="4" w:space="0" w:color="auto"/>
              <w:right w:val="nil"/>
            </w:tcBorders>
            <w:shd w:val="clear" w:color="auto" w:fill="auto"/>
            <w:noWrap/>
            <w:vAlign w:val="center"/>
          </w:tcPr>
          <w:p w14:paraId="37CC3463" w14:textId="77777777" w:rsidR="00895837" w:rsidRPr="00071448" w:rsidRDefault="00895837" w:rsidP="00073A54">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30028CC3" w14:textId="77777777" w:rsidR="00895837" w:rsidRPr="00071448" w:rsidRDefault="00895837" w:rsidP="00073A54">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6CDEE3A9" w14:textId="77777777" w:rsidR="00895837" w:rsidRPr="00071448" w:rsidRDefault="00895837" w:rsidP="00073A54">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44BAF5EC" w14:textId="77777777" w:rsidR="00895837" w:rsidRDefault="00895837" w:rsidP="002E0043">
      <w:pPr>
        <w:rPr>
          <w:rFonts w:cs="Arial"/>
          <w:sz w:val="20"/>
          <w:szCs w:val="20"/>
        </w:rPr>
      </w:pPr>
    </w:p>
    <w:p w14:paraId="393A0AC6" w14:textId="5A49D902" w:rsidR="00D73550" w:rsidRPr="00461A30" w:rsidRDefault="00E730D3" w:rsidP="002E0043">
      <w:pPr>
        <w:rPr>
          <w:rFonts w:cs="Arial"/>
          <w:sz w:val="20"/>
          <w:szCs w:val="20"/>
        </w:rPr>
      </w:pPr>
      <w:r>
        <w:rPr>
          <w:rFonts w:cs="Arial"/>
          <w:sz w:val="20"/>
          <w:szCs w:val="20"/>
        </w:rPr>
        <w:t>This</w:t>
      </w:r>
      <w:r w:rsidR="00461A30">
        <w:rPr>
          <w:rFonts w:cs="Arial"/>
          <w:sz w:val="20"/>
          <w:szCs w:val="20"/>
        </w:rPr>
        <w:t xml:space="preserve"> measure</w:t>
      </w:r>
      <w:r>
        <w:rPr>
          <w:rFonts w:cs="Arial"/>
          <w:sz w:val="20"/>
          <w:szCs w:val="20"/>
        </w:rPr>
        <w:t xml:space="preserve"> is </w:t>
      </w:r>
      <w:r w:rsidR="00461A30">
        <w:rPr>
          <w:rFonts w:cs="Arial"/>
          <w:sz w:val="20"/>
          <w:szCs w:val="20"/>
        </w:rPr>
        <w:t xml:space="preserve">identified as </w:t>
      </w:r>
      <w:r w:rsidR="00895837">
        <w:rPr>
          <w:rFonts w:cs="Arial"/>
          <w:sz w:val="20"/>
          <w:szCs w:val="20"/>
        </w:rPr>
        <w:t xml:space="preserve">REA, or </w:t>
      </w:r>
      <w:proofErr w:type="gramStart"/>
      <w:r w:rsidR="00895837">
        <w:rPr>
          <w:rFonts w:cs="Arial"/>
          <w:sz w:val="20"/>
          <w:szCs w:val="20"/>
        </w:rPr>
        <w:t>retrofit add</w:t>
      </w:r>
      <w:proofErr w:type="gramEnd"/>
      <w:r w:rsidR="00895837">
        <w:rPr>
          <w:rFonts w:cs="Arial"/>
          <w:sz w:val="20"/>
          <w:szCs w:val="20"/>
        </w:rPr>
        <w:t xml:space="preserve"> on</w:t>
      </w:r>
      <w:r w:rsidR="00461A30">
        <w:rPr>
          <w:rFonts w:cs="Arial"/>
          <w:sz w:val="20"/>
          <w:szCs w:val="20"/>
        </w:rPr>
        <w:t>.</w:t>
      </w:r>
    </w:p>
    <w:p w14:paraId="393A0AC7" w14:textId="77777777" w:rsidR="00806070" w:rsidRDefault="00806070" w:rsidP="001248A3">
      <w:pPr>
        <w:pStyle w:val="Heading2"/>
      </w:pPr>
      <w:bookmarkStart w:id="54" w:name="_Toc304800204"/>
      <w:bookmarkStart w:id="55" w:name="_Toc324318340"/>
      <w:bookmarkStart w:id="56" w:name="_Toc324340484"/>
      <w:bookmarkStart w:id="57" w:name="_Toc386699717"/>
      <w:r>
        <w:t>1.4 Product Base Case and Measure Case Data</w:t>
      </w:r>
      <w:bookmarkEnd w:id="54"/>
      <w:bookmarkEnd w:id="55"/>
      <w:bookmarkEnd w:id="56"/>
      <w:bookmarkEnd w:id="57"/>
    </w:p>
    <w:p w14:paraId="393A0AC9" w14:textId="77777777" w:rsidR="00E71EF1" w:rsidRDefault="001248A3" w:rsidP="001248A3">
      <w:pPr>
        <w:pStyle w:val="Heading2"/>
      </w:pPr>
      <w:bookmarkStart w:id="58" w:name="_Toc304800205"/>
      <w:bookmarkStart w:id="59" w:name="_Toc324318341"/>
      <w:bookmarkStart w:id="60" w:name="_Toc324340485"/>
      <w:bookmarkStart w:id="61" w:name="_Toc386699718"/>
      <w:r>
        <w:t>1.</w:t>
      </w:r>
      <w:r w:rsidR="00806070">
        <w:t>4.1</w:t>
      </w:r>
      <w:r w:rsidR="00FA595F">
        <w:t xml:space="preserve"> </w:t>
      </w:r>
      <w:r w:rsidR="00C069A2" w:rsidRPr="001248A3">
        <w:t xml:space="preserve">DEER </w:t>
      </w:r>
      <w:r w:rsidR="008C6AD1">
        <w:t>Base Case and Measure Case Information</w:t>
      </w:r>
      <w:bookmarkEnd w:id="58"/>
      <w:bookmarkEnd w:id="59"/>
      <w:bookmarkEnd w:id="60"/>
      <w:bookmarkEnd w:id="61"/>
      <w:r w:rsidR="008C6AD1">
        <w:t xml:space="preserve"> </w:t>
      </w:r>
    </w:p>
    <w:p w14:paraId="208D5876" w14:textId="4C0177E8" w:rsidR="004B3ECB" w:rsidRPr="004B3ECB" w:rsidRDefault="004B3ECB" w:rsidP="004B3ECB">
      <w:pPr>
        <w:pStyle w:val="BodyText"/>
        <w:rPr>
          <w:sz w:val="20"/>
          <w:szCs w:val="20"/>
        </w:rPr>
      </w:pPr>
      <w:r w:rsidRPr="004B3ECB">
        <w:rPr>
          <w:sz w:val="20"/>
          <w:szCs w:val="20"/>
        </w:rPr>
        <w:t xml:space="preserve">The DEER data (Measure ID: D03-051) include electric demand savings, electric energy savings, and equipment unit costs for installation of VFDs on HVAC fans. The energy savings in this work paper are taken directly from DEER Measure ID D03-051. No changes were made to measure code D03-051 under the </w:t>
      </w:r>
      <w:r w:rsidR="002F5B31">
        <w:rPr>
          <w:sz w:val="20"/>
          <w:szCs w:val="20"/>
        </w:rPr>
        <w:t xml:space="preserve">DEER2014, </w:t>
      </w:r>
      <w:r w:rsidRPr="004B3ECB">
        <w:rPr>
          <w:sz w:val="20"/>
          <w:szCs w:val="20"/>
        </w:rPr>
        <w:t>DEER2011 or the DEER2008 updates and therefore DEER2005 values were used to esti</w:t>
      </w:r>
      <w:r w:rsidR="002F5B31">
        <w:rPr>
          <w:sz w:val="20"/>
          <w:szCs w:val="20"/>
        </w:rPr>
        <w:t>mate the savings in the DEER2014</w:t>
      </w:r>
      <w:r w:rsidRPr="004B3ECB">
        <w:rPr>
          <w:sz w:val="20"/>
          <w:szCs w:val="20"/>
        </w:rPr>
        <w:t xml:space="preserve"> database.</w:t>
      </w:r>
    </w:p>
    <w:p w14:paraId="393A0ACB" w14:textId="1BD39F27" w:rsidR="00AF5B52" w:rsidRPr="00AF5B52" w:rsidRDefault="00AF5B52" w:rsidP="009C5CA7">
      <w:pPr>
        <w:rPr>
          <w:rFonts w:cs="Arial"/>
          <w:sz w:val="20"/>
          <w:szCs w:val="20"/>
          <w:highlight w:val="cyan"/>
        </w:rPr>
      </w:pPr>
    </w:p>
    <w:p w14:paraId="4C9C4C54" w14:textId="55E2ED31" w:rsidR="00BE5E74" w:rsidRPr="000D0C13" w:rsidRDefault="009C5CA7" w:rsidP="0019648A">
      <w:pPr>
        <w:numPr>
          <w:ilvl w:val="0"/>
          <w:numId w:val="10"/>
        </w:numPr>
      </w:pPr>
      <w:r w:rsidRPr="000D0C13">
        <w:rPr>
          <w:rFonts w:cs="Arial"/>
          <w:sz w:val="20"/>
          <w:szCs w:val="20"/>
        </w:rPr>
        <w:t>The DEER</w:t>
      </w:r>
      <w:r w:rsidR="00AF5B52" w:rsidRPr="000D0C13">
        <w:rPr>
          <w:rFonts w:cs="Arial"/>
          <w:sz w:val="20"/>
          <w:szCs w:val="20"/>
        </w:rPr>
        <w:t xml:space="preserve"> </w:t>
      </w:r>
      <w:r w:rsidR="000D0C13" w:rsidRPr="000D0C13">
        <w:rPr>
          <w:rFonts w:cs="Arial"/>
          <w:sz w:val="20"/>
          <w:szCs w:val="20"/>
        </w:rPr>
        <w:t>2014</w:t>
      </w:r>
      <w:r w:rsidR="00806070" w:rsidRPr="000D0C13">
        <w:rPr>
          <w:rFonts w:cs="Arial"/>
          <w:sz w:val="20"/>
          <w:szCs w:val="20"/>
        </w:rPr>
        <w:t xml:space="preserve"> </w:t>
      </w:r>
      <w:r w:rsidRPr="000D0C13">
        <w:rPr>
          <w:rFonts w:cs="Arial"/>
          <w:sz w:val="20"/>
          <w:szCs w:val="20"/>
        </w:rPr>
        <w:t>data include</w:t>
      </w:r>
      <w:r w:rsidR="000D0C13" w:rsidRPr="000D0C13">
        <w:rPr>
          <w:rFonts w:cs="Arial"/>
          <w:sz w:val="20"/>
          <w:szCs w:val="20"/>
        </w:rPr>
        <w:t xml:space="preserve">s: </w:t>
      </w:r>
      <w:r w:rsidRPr="000D0C13">
        <w:rPr>
          <w:rFonts w:cs="Arial"/>
          <w:sz w:val="20"/>
          <w:szCs w:val="20"/>
        </w:rPr>
        <w:t xml:space="preserve">demand, electric, </w:t>
      </w:r>
      <w:r w:rsidR="000D0C13" w:rsidRPr="000D0C13">
        <w:rPr>
          <w:rFonts w:cs="Arial"/>
          <w:sz w:val="20"/>
          <w:szCs w:val="20"/>
        </w:rPr>
        <w:t xml:space="preserve">and </w:t>
      </w:r>
      <w:r w:rsidRPr="000D0C13">
        <w:rPr>
          <w:rFonts w:cs="Arial"/>
          <w:sz w:val="20"/>
          <w:szCs w:val="20"/>
        </w:rPr>
        <w:t>gas energy savings</w:t>
      </w:r>
      <w:r w:rsidR="000D0C13" w:rsidRPr="000D0C13">
        <w:rPr>
          <w:rFonts w:cs="Arial"/>
          <w:sz w:val="20"/>
          <w:szCs w:val="20"/>
        </w:rPr>
        <w:t xml:space="preserve"> with interactive effects</w:t>
      </w:r>
      <w:r w:rsidRPr="000D0C13">
        <w:rPr>
          <w:rFonts w:cs="Arial"/>
          <w:sz w:val="20"/>
          <w:szCs w:val="20"/>
        </w:rPr>
        <w:t xml:space="preserve">, </w:t>
      </w:r>
      <w:r w:rsidR="000D0C13" w:rsidRPr="000D0C13">
        <w:rPr>
          <w:rFonts w:cs="Arial"/>
          <w:sz w:val="20"/>
          <w:szCs w:val="20"/>
        </w:rPr>
        <w:t xml:space="preserve">labor </w:t>
      </w:r>
      <w:r w:rsidRPr="000D0C13">
        <w:rPr>
          <w:rFonts w:cs="Arial"/>
          <w:sz w:val="20"/>
          <w:szCs w:val="20"/>
        </w:rPr>
        <w:t xml:space="preserve">costs, equipment </w:t>
      </w:r>
      <w:r w:rsidR="00AF5B52" w:rsidRPr="000D0C13">
        <w:rPr>
          <w:rFonts w:cs="Arial"/>
          <w:sz w:val="20"/>
          <w:szCs w:val="20"/>
        </w:rPr>
        <w:t xml:space="preserve">useful </w:t>
      </w:r>
      <w:r w:rsidRPr="000D0C13">
        <w:rPr>
          <w:rFonts w:cs="Arial"/>
          <w:sz w:val="20"/>
          <w:szCs w:val="20"/>
        </w:rPr>
        <w:t xml:space="preserve">life, </w:t>
      </w:r>
      <w:r w:rsidR="000D0C13" w:rsidRPr="000D0C13">
        <w:rPr>
          <w:rFonts w:cs="Arial"/>
          <w:sz w:val="20"/>
          <w:szCs w:val="20"/>
        </w:rPr>
        <w:t xml:space="preserve">and </w:t>
      </w:r>
      <w:r w:rsidRPr="000D0C13">
        <w:rPr>
          <w:rFonts w:cs="Arial"/>
          <w:sz w:val="20"/>
          <w:szCs w:val="20"/>
        </w:rPr>
        <w:t>N</w:t>
      </w:r>
      <w:r w:rsidR="00AF5B52" w:rsidRPr="000D0C13">
        <w:rPr>
          <w:rFonts w:cs="Arial"/>
          <w:sz w:val="20"/>
          <w:szCs w:val="20"/>
        </w:rPr>
        <w:t xml:space="preserve">et to </w:t>
      </w:r>
      <w:proofErr w:type="gramStart"/>
      <w:r w:rsidR="00AF5B52" w:rsidRPr="000D0C13">
        <w:rPr>
          <w:rFonts w:cs="Arial"/>
          <w:sz w:val="20"/>
          <w:szCs w:val="20"/>
        </w:rPr>
        <w:t>Gross</w:t>
      </w:r>
      <w:proofErr w:type="gramEnd"/>
      <w:r w:rsidR="00AF5B52" w:rsidRPr="000D0C13">
        <w:rPr>
          <w:rFonts w:cs="Arial"/>
          <w:sz w:val="20"/>
          <w:szCs w:val="20"/>
        </w:rPr>
        <w:t xml:space="preserve"> </w:t>
      </w:r>
      <w:r w:rsidR="000D0C13" w:rsidRPr="000D0C13">
        <w:rPr>
          <w:rFonts w:cs="Arial"/>
          <w:sz w:val="20"/>
          <w:szCs w:val="20"/>
        </w:rPr>
        <w:t>of this measure.</w:t>
      </w:r>
    </w:p>
    <w:p w14:paraId="59657166" w14:textId="47F3A617" w:rsidR="000D0C13" w:rsidRPr="000D0C13" w:rsidRDefault="000D0C13" w:rsidP="0019648A">
      <w:pPr>
        <w:numPr>
          <w:ilvl w:val="0"/>
          <w:numId w:val="10"/>
        </w:numPr>
      </w:pPr>
      <w:r w:rsidRPr="000D0C13">
        <w:rPr>
          <w:rFonts w:cs="Arial"/>
          <w:sz w:val="20"/>
          <w:szCs w:val="20"/>
        </w:rPr>
        <w:t>The DEER 2008 data includes: equipment unit costs for this measure.</w:t>
      </w:r>
    </w:p>
    <w:p w14:paraId="4F1F2D79" w14:textId="77777777" w:rsidR="00A77CF2" w:rsidRDefault="00A77CF2" w:rsidP="00A77CF2">
      <w:pPr>
        <w:ind w:left="360"/>
        <w:rPr>
          <w:highlight w:val="yellow"/>
        </w:rPr>
      </w:pPr>
    </w:p>
    <w:p w14:paraId="5E92CC8D" w14:textId="2F2B1D7F" w:rsidR="00853B76" w:rsidRDefault="00B422C9" w:rsidP="00853B76">
      <w:pPr>
        <w:rPr>
          <w:highlight w:val="yellow"/>
        </w:rPr>
      </w:pPr>
      <w:r>
        <w:rPr>
          <w:noProof/>
        </w:rPr>
        <w:drawing>
          <wp:inline distT="0" distB="0" distL="0" distR="0" wp14:anchorId="24175373" wp14:editId="2E7510F0">
            <wp:extent cx="5943600" cy="16325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1632585"/>
                    </a:xfrm>
                    <a:prstGeom prst="rect">
                      <a:avLst/>
                    </a:prstGeom>
                  </pic:spPr>
                </pic:pic>
              </a:graphicData>
            </a:graphic>
          </wp:inline>
        </w:drawing>
      </w:r>
    </w:p>
    <w:p w14:paraId="393A0C11" w14:textId="77777777" w:rsidR="000E132D" w:rsidRPr="008F48E1" w:rsidRDefault="000E132D" w:rsidP="009C5CA7">
      <w:pPr>
        <w:rPr>
          <w:rFonts w:cs="Arial"/>
          <w:b/>
          <w:sz w:val="20"/>
          <w:szCs w:val="20"/>
        </w:rPr>
      </w:pPr>
    </w:p>
    <w:p w14:paraId="393A0C13" w14:textId="584E0AF2" w:rsidR="009C5CA7" w:rsidRPr="008F48E1" w:rsidRDefault="009C5CA7" w:rsidP="009C5CA7">
      <w:pPr>
        <w:rPr>
          <w:rFonts w:cs="Arial"/>
          <w:sz w:val="20"/>
          <w:szCs w:val="20"/>
        </w:rPr>
      </w:pPr>
      <w:bookmarkStart w:id="62" w:name="Net_to_Gross"/>
      <w:r w:rsidRPr="008F48E1">
        <w:rPr>
          <w:rFonts w:cs="Arial"/>
          <w:b/>
          <w:sz w:val="20"/>
          <w:szCs w:val="20"/>
        </w:rPr>
        <w:t>Net-to-Gross</w:t>
      </w:r>
      <w:bookmarkEnd w:id="62"/>
      <w:r w:rsidRPr="008F48E1">
        <w:rPr>
          <w:rFonts w:cs="Arial"/>
          <w:b/>
          <w:sz w:val="20"/>
          <w:szCs w:val="20"/>
        </w:rPr>
        <w:t xml:space="preserve"> Assumption:</w:t>
      </w:r>
      <w:r w:rsidR="00437BE1">
        <w:rPr>
          <w:rFonts w:cs="Arial"/>
          <w:sz w:val="20"/>
          <w:szCs w:val="20"/>
        </w:rPr>
        <w:t xml:space="preserve"> </w:t>
      </w:r>
    </w:p>
    <w:p w14:paraId="393A0C14" w14:textId="01B38C3E" w:rsidR="00D719E9" w:rsidRPr="008F48E1" w:rsidRDefault="00671514" w:rsidP="00D719E9">
      <w:pPr>
        <w:rPr>
          <w:rFonts w:cs="Arial"/>
          <w:sz w:val="20"/>
          <w:szCs w:val="20"/>
        </w:rPr>
      </w:pPr>
      <w:r w:rsidRPr="00671514">
        <w:rPr>
          <w:rFonts w:cs="Arial"/>
          <w:sz w:val="20"/>
          <w:szCs w:val="20"/>
        </w:rPr>
        <w:fldChar w:fldCharType="begin"/>
      </w:r>
      <w:r w:rsidRPr="00671514">
        <w:rPr>
          <w:rFonts w:cs="Arial"/>
          <w:sz w:val="20"/>
          <w:szCs w:val="20"/>
        </w:rPr>
        <w:instrText xml:space="preserve"> REF _Ref382553092 \h </w:instrText>
      </w:r>
      <w:r>
        <w:rPr>
          <w:rFonts w:cs="Arial"/>
          <w:sz w:val="20"/>
          <w:szCs w:val="20"/>
        </w:rPr>
        <w:instrText xml:space="preserve"> \* MERGEFORMAT </w:instrText>
      </w:r>
      <w:r w:rsidRPr="00671514">
        <w:rPr>
          <w:rFonts w:cs="Arial"/>
          <w:sz w:val="20"/>
          <w:szCs w:val="20"/>
        </w:rPr>
      </w:r>
      <w:r w:rsidRPr="00671514">
        <w:rPr>
          <w:rFonts w:cs="Arial"/>
          <w:sz w:val="20"/>
          <w:szCs w:val="20"/>
        </w:rPr>
        <w:fldChar w:fldCharType="separate"/>
      </w:r>
      <w:r w:rsidRPr="00671514">
        <w:rPr>
          <w:rFonts w:cs="Arial"/>
          <w:sz w:val="20"/>
          <w:szCs w:val="20"/>
        </w:rPr>
        <w:t xml:space="preserve">Table </w:t>
      </w:r>
      <w:r w:rsidRPr="00671514">
        <w:rPr>
          <w:rFonts w:cs="Arial"/>
          <w:noProof/>
          <w:sz w:val="20"/>
          <w:szCs w:val="20"/>
        </w:rPr>
        <w:t>2</w:t>
      </w:r>
      <w:r w:rsidRPr="00671514">
        <w:rPr>
          <w:rFonts w:cs="Arial"/>
          <w:sz w:val="20"/>
          <w:szCs w:val="20"/>
        </w:rPr>
        <w:fldChar w:fldCharType="end"/>
      </w:r>
      <w:r>
        <w:rPr>
          <w:rFonts w:cs="Arial"/>
          <w:sz w:val="20"/>
          <w:szCs w:val="20"/>
        </w:rPr>
        <w:t xml:space="preserve"> </w:t>
      </w:r>
      <w:r w:rsidR="00D719E9"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77777777" w:rsidR="00D719E9" w:rsidRPr="008F48E1" w:rsidRDefault="00D719E9" w:rsidP="00587DDD">
      <w:pPr>
        <w:pStyle w:val="Caption"/>
        <w:keepNext/>
        <w:jc w:val="center"/>
        <w:rPr>
          <w:rFonts w:cs="Arial"/>
        </w:rPr>
      </w:pPr>
      <w:bookmarkStart w:id="63" w:name="_Ref382553092"/>
      <w:bookmarkStart w:id="64" w:name="_Toc386010917"/>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ED7D3D">
        <w:rPr>
          <w:rFonts w:cs="Arial"/>
          <w:noProof/>
        </w:rPr>
        <w:t>2</w:t>
      </w:r>
      <w:r w:rsidRPr="008F48E1">
        <w:rPr>
          <w:rFonts w:cs="Arial"/>
        </w:rPr>
        <w:fldChar w:fldCharType="end"/>
      </w:r>
      <w:bookmarkEnd w:id="63"/>
      <w:r w:rsidR="00437BE1">
        <w:rPr>
          <w:rFonts w:cs="Arial"/>
        </w:rPr>
        <w:t xml:space="preserve"> </w:t>
      </w:r>
      <w:r w:rsidR="00B74917">
        <w:rPr>
          <w:rFonts w:cs="Arial"/>
        </w:rPr>
        <w:t xml:space="preserve">DEER </w:t>
      </w:r>
      <w:r w:rsidRPr="008F48E1">
        <w:rPr>
          <w:rFonts w:cs="Arial"/>
        </w:rPr>
        <w:t>Net-to-Gross Ratios</w:t>
      </w:r>
      <w:bookmarkEnd w:id="64"/>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897"/>
        <w:gridCol w:w="1262"/>
        <w:gridCol w:w="2529"/>
        <w:gridCol w:w="1160"/>
      </w:tblGrid>
      <w:tr w:rsidR="00D719E9" w:rsidRPr="00783DAC" w14:paraId="393A0C1A" w14:textId="77777777" w:rsidTr="00CE5B0E">
        <w:tc>
          <w:tcPr>
            <w:tcW w:w="1846" w:type="pct"/>
            <w:shd w:val="clear" w:color="auto" w:fill="262626"/>
            <w:vAlign w:val="bottom"/>
          </w:tcPr>
          <w:p w14:paraId="393A0C17" w14:textId="77777777" w:rsidR="00D719E9" w:rsidRPr="001E4C31" w:rsidRDefault="00D719E9" w:rsidP="00587DDD">
            <w:pPr>
              <w:keepNext/>
              <w:keepLines/>
              <w:jc w:val="center"/>
              <w:rPr>
                <w:rFonts w:cs="Arial"/>
                <w:b/>
                <w:bCs/>
                <w:color w:val="F2F2F2"/>
                <w:sz w:val="20"/>
                <w:szCs w:val="20"/>
              </w:rPr>
            </w:pPr>
          </w:p>
        </w:tc>
        <w:tc>
          <w:tcPr>
            <w:tcW w:w="804" w:type="pct"/>
            <w:shd w:val="clear" w:color="auto" w:fill="262626"/>
            <w:vAlign w:val="bottom"/>
          </w:tcPr>
          <w:p w14:paraId="393A0C18" w14:textId="77777777" w:rsidR="00D719E9" w:rsidRPr="001E4C31" w:rsidRDefault="00D719E9" w:rsidP="00587DDD">
            <w:pPr>
              <w:keepNext/>
              <w:keepLines/>
              <w:jc w:val="center"/>
              <w:rPr>
                <w:rFonts w:cs="Arial"/>
                <w:b/>
                <w:bCs/>
                <w:color w:val="F2F2F2"/>
                <w:sz w:val="20"/>
                <w:szCs w:val="20"/>
              </w:rPr>
            </w:pPr>
          </w:p>
        </w:tc>
        <w:tc>
          <w:tcPr>
            <w:tcW w:w="2350" w:type="pct"/>
            <w:gridSpan w:val="2"/>
            <w:shd w:val="clear" w:color="auto" w:fill="262626"/>
            <w:vAlign w:val="bottom"/>
          </w:tcPr>
          <w:p w14:paraId="393A0C19" w14:textId="77777777" w:rsidR="00D719E9" w:rsidRPr="001E4C31" w:rsidRDefault="00D719E9" w:rsidP="00587DDD">
            <w:pPr>
              <w:keepNext/>
              <w:keepLines/>
              <w:jc w:val="center"/>
              <w:rPr>
                <w:rFonts w:cs="Arial"/>
                <w:b/>
                <w:bCs/>
                <w:color w:val="F2F2F2"/>
                <w:sz w:val="20"/>
                <w:szCs w:val="20"/>
              </w:rPr>
            </w:pPr>
            <w:r w:rsidRPr="001E4C31">
              <w:rPr>
                <w:rFonts w:cs="Arial"/>
                <w:b/>
                <w:bCs/>
                <w:color w:val="F2F2F2"/>
                <w:sz w:val="20"/>
                <w:szCs w:val="20"/>
              </w:rPr>
              <w:t>DEER Spreadsheet</w:t>
            </w:r>
          </w:p>
        </w:tc>
      </w:tr>
      <w:tr w:rsidR="00D719E9" w:rsidRPr="00783DAC" w14:paraId="393A0C1F" w14:textId="77777777" w:rsidTr="00CE5B0E">
        <w:tc>
          <w:tcPr>
            <w:tcW w:w="1846" w:type="pct"/>
            <w:shd w:val="pct5" w:color="000000" w:fill="FFFFFF"/>
            <w:vAlign w:val="bottom"/>
          </w:tcPr>
          <w:p w14:paraId="393A0C1B" w14:textId="77777777" w:rsidR="00D719E9" w:rsidRPr="001E4C31" w:rsidRDefault="00D719E9" w:rsidP="00587DDD">
            <w:pPr>
              <w:keepNext/>
              <w:jc w:val="center"/>
              <w:rPr>
                <w:rFonts w:cs="Arial"/>
                <w:sz w:val="20"/>
                <w:szCs w:val="20"/>
              </w:rPr>
            </w:pPr>
            <w:r w:rsidRPr="001E4C31">
              <w:rPr>
                <w:rFonts w:cs="Arial"/>
                <w:sz w:val="20"/>
                <w:szCs w:val="20"/>
              </w:rPr>
              <w:t>Program Approach</w:t>
            </w:r>
          </w:p>
        </w:tc>
        <w:tc>
          <w:tcPr>
            <w:tcW w:w="804" w:type="pct"/>
            <w:shd w:val="pct5" w:color="000000" w:fill="FFFFFF"/>
            <w:vAlign w:val="bottom"/>
          </w:tcPr>
          <w:p w14:paraId="393A0C1C" w14:textId="77777777" w:rsidR="00D719E9" w:rsidRPr="001E4C31" w:rsidRDefault="00D719E9" w:rsidP="00587DDD">
            <w:pPr>
              <w:keepNext/>
              <w:jc w:val="center"/>
              <w:rPr>
                <w:rFonts w:cs="Arial"/>
                <w:sz w:val="20"/>
                <w:szCs w:val="20"/>
              </w:rPr>
            </w:pPr>
            <w:r w:rsidRPr="001E4C31">
              <w:rPr>
                <w:rFonts w:cs="Arial"/>
                <w:sz w:val="20"/>
                <w:szCs w:val="20"/>
              </w:rPr>
              <w:t>NTG</w:t>
            </w:r>
          </w:p>
        </w:tc>
        <w:tc>
          <w:tcPr>
            <w:tcW w:w="1611" w:type="pct"/>
            <w:shd w:val="pct5" w:color="000000" w:fill="FFFFFF"/>
            <w:vAlign w:val="bottom"/>
          </w:tcPr>
          <w:p w14:paraId="393A0C1D" w14:textId="77777777" w:rsidR="00D719E9" w:rsidRPr="001E4C31" w:rsidRDefault="00D719E9" w:rsidP="00587DDD">
            <w:pPr>
              <w:keepNext/>
              <w:jc w:val="center"/>
              <w:rPr>
                <w:rFonts w:cs="Arial"/>
                <w:sz w:val="20"/>
                <w:szCs w:val="20"/>
              </w:rPr>
            </w:pPr>
            <w:r w:rsidRPr="001E4C31">
              <w:rPr>
                <w:rFonts w:cs="Arial"/>
                <w:sz w:val="20"/>
                <w:szCs w:val="20"/>
              </w:rPr>
              <w:t>File name</w:t>
            </w:r>
          </w:p>
        </w:tc>
        <w:tc>
          <w:tcPr>
            <w:tcW w:w="738" w:type="pct"/>
            <w:shd w:val="pct5" w:color="000000" w:fill="FFFFFF"/>
            <w:vAlign w:val="bottom"/>
          </w:tcPr>
          <w:p w14:paraId="393A0C1E" w14:textId="77777777" w:rsidR="00D719E9" w:rsidRPr="001E4C31" w:rsidRDefault="00D719E9" w:rsidP="00587DDD">
            <w:pPr>
              <w:keepNext/>
              <w:jc w:val="center"/>
              <w:rPr>
                <w:rFonts w:cs="Arial"/>
                <w:sz w:val="20"/>
                <w:szCs w:val="20"/>
              </w:rPr>
            </w:pPr>
            <w:r w:rsidRPr="001E4C31">
              <w:rPr>
                <w:rFonts w:cs="Arial"/>
                <w:sz w:val="20"/>
                <w:szCs w:val="20"/>
              </w:rPr>
              <w:t>Cell</w:t>
            </w:r>
            <w:r w:rsidR="00183C8E" w:rsidRPr="001E4C31">
              <w:rPr>
                <w:rFonts w:cs="Arial"/>
                <w:sz w:val="20"/>
                <w:szCs w:val="20"/>
              </w:rPr>
              <w:t xml:space="preserve"> Number</w:t>
            </w:r>
          </w:p>
        </w:tc>
      </w:tr>
      <w:tr w:rsidR="00D719E9" w:rsidRPr="00783DAC" w14:paraId="393A0C24" w14:textId="77777777" w:rsidTr="00CE5B0E">
        <w:tc>
          <w:tcPr>
            <w:tcW w:w="1846" w:type="pct"/>
            <w:shd w:val="pct20" w:color="000000" w:fill="FFFFFF"/>
            <w:vAlign w:val="bottom"/>
          </w:tcPr>
          <w:p w14:paraId="22914BFD" w14:textId="77777777" w:rsidR="00671514" w:rsidRPr="00671514" w:rsidRDefault="00671514" w:rsidP="00671514">
            <w:pPr>
              <w:jc w:val="center"/>
              <w:rPr>
                <w:rFonts w:cs="Arial"/>
                <w:color w:val="000000"/>
                <w:sz w:val="20"/>
                <w:szCs w:val="20"/>
              </w:rPr>
            </w:pPr>
            <w:r w:rsidRPr="00671514">
              <w:rPr>
                <w:rFonts w:cs="Arial"/>
                <w:color w:val="000000"/>
                <w:sz w:val="20"/>
                <w:szCs w:val="20"/>
              </w:rPr>
              <w:t>Com-Default&gt;2yrs</w:t>
            </w:r>
            <w:r>
              <w:rPr>
                <w:rFonts w:cs="Arial"/>
                <w:color w:val="000000"/>
                <w:sz w:val="20"/>
                <w:szCs w:val="20"/>
              </w:rPr>
              <w:t xml:space="preserve">: </w:t>
            </w:r>
          </w:p>
          <w:p w14:paraId="393A0C20" w14:textId="6FDA8239" w:rsidR="00D719E9" w:rsidRPr="00671514" w:rsidRDefault="00671514" w:rsidP="001E4C31">
            <w:pPr>
              <w:jc w:val="center"/>
              <w:rPr>
                <w:rFonts w:cs="Arial"/>
                <w:color w:val="000000"/>
                <w:szCs w:val="22"/>
              </w:rPr>
            </w:pPr>
            <w:r w:rsidRPr="00671514">
              <w:rPr>
                <w:rFonts w:cs="Arial"/>
                <w:color w:val="000000"/>
                <w:sz w:val="20"/>
                <w:szCs w:val="22"/>
              </w:rPr>
              <w:t>All other EEMs with no evaluated NTGR; existing EEM in programs with same delivery mechanism for more than 2 years</w:t>
            </w:r>
          </w:p>
        </w:tc>
        <w:tc>
          <w:tcPr>
            <w:tcW w:w="804" w:type="pct"/>
            <w:shd w:val="pct20" w:color="000000" w:fill="FFFFFF"/>
            <w:vAlign w:val="bottom"/>
          </w:tcPr>
          <w:p w14:paraId="393A0C21" w14:textId="2854E42C" w:rsidR="00D719E9" w:rsidRPr="001E4C31" w:rsidRDefault="00671514" w:rsidP="007A2DC8">
            <w:pPr>
              <w:jc w:val="center"/>
              <w:rPr>
                <w:rFonts w:cs="Arial"/>
                <w:sz w:val="20"/>
                <w:szCs w:val="20"/>
              </w:rPr>
            </w:pPr>
            <w:r>
              <w:rPr>
                <w:rFonts w:cs="Arial"/>
                <w:sz w:val="20"/>
                <w:szCs w:val="20"/>
              </w:rPr>
              <w:t>0.6</w:t>
            </w:r>
          </w:p>
        </w:tc>
        <w:tc>
          <w:tcPr>
            <w:tcW w:w="1611" w:type="pct"/>
            <w:shd w:val="pct20" w:color="000000" w:fill="FFFFFF"/>
            <w:vAlign w:val="bottom"/>
          </w:tcPr>
          <w:p w14:paraId="393A0C22" w14:textId="5BC22B86" w:rsidR="00D719E9" w:rsidRPr="001E4C31" w:rsidRDefault="007A2DC8" w:rsidP="001E4C31">
            <w:pPr>
              <w:jc w:val="center"/>
              <w:rPr>
                <w:rFonts w:cs="Arial"/>
                <w:sz w:val="20"/>
                <w:szCs w:val="20"/>
              </w:rPr>
            </w:pPr>
            <w:r w:rsidRPr="007A2DC8">
              <w:rPr>
                <w:rFonts w:cs="Arial"/>
                <w:sz w:val="20"/>
                <w:szCs w:val="20"/>
              </w:rPr>
              <w:t>SupportTable_NTGR.csv</w:t>
            </w:r>
            <w:r>
              <w:rPr>
                <w:rFonts w:cs="Arial"/>
                <w:sz w:val="20"/>
                <w:szCs w:val="20"/>
              </w:rPr>
              <w:fldChar w:fldCharType="begin"/>
            </w:r>
            <w:r>
              <w:rPr>
                <w:rFonts w:cs="Arial"/>
                <w:sz w:val="20"/>
                <w:szCs w:val="20"/>
              </w:rPr>
              <w:instrText xml:space="preserve"> NOTEREF _Ref327361296 \f \h </w:instrText>
            </w:r>
            <w:r>
              <w:rPr>
                <w:rFonts w:cs="Arial"/>
                <w:sz w:val="20"/>
                <w:szCs w:val="20"/>
              </w:rPr>
            </w:r>
            <w:r>
              <w:rPr>
                <w:rFonts w:cs="Arial"/>
                <w:sz w:val="20"/>
                <w:szCs w:val="20"/>
              </w:rPr>
              <w:fldChar w:fldCharType="separate"/>
            </w:r>
            <w:r w:rsidRPr="00671514">
              <w:rPr>
                <w:rStyle w:val="EndnoteReference"/>
              </w:rPr>
              <w:t>9</w:t>
            </w:r>
            <w:r>
              <w:rPr>
                <w:rFonts w:cs="Arial"/>
                <w:sz w:val="20"/>
                <w:szCs w:val="20"/>
              </w:rPr>
              <w:fldChar w:fldCharType="end"/>
            </w:r>
          </w:p>
        </w:tc>
        <w:tc>
          <w:tcPr>
            <w:tcW w:w="738" w:type="pct"/>
            <w:shd w:val="pct20" w:color="000000" w:fill="FFFFFF"/>
            <w:vAlign w:val="bottom"/>
          </w:tcPr>
          <w:p w14:paraId="393A0C23" w14:textId="68C7BB07" w:rsidR="00D719E9" w:rsidRPr="001E4C31" w:rsidRDefault="007A2DC8" w:rsidP="001E4C31">
            <w:pPr>
              <w:jc w:val="center"/>
              <w:rPr>
                <w:rFonts w:cs="Arial"/>
                <w:sz w:val="20"/>
                <w:szCs w:val="20"/>
              </w:rPr>
            </w:pPr>
            <w:r>
              <w:rPr>
                <w:rFonts w:cs="Arial"/>
                <w:sz w:val="20"/>
                <w:szCs w:val="20"/>
              </w:rPr>
              <w:t>D52</w:t>
            </w:r>
          </w:p>
        </w:tc>
      </w:tr>
    </w:tbl>
    <w:p w14:paraId="393A0C29" w14:textId="7C192BBE" w:rsidR="008F48E1" w:rsidRPr="008F48E1" w:rsidRDefault="008F48E1" w:rsidP="00671514">
      <w:pPr>
        <w:ind w:left="720"/>
        <w:rPr>
          <w:rFonts w:cs="Arial"/>
          <w:sz w:val="20"/>
          <w:szCs w:val="20"/>
        </w:rPr>
      </w:pPr>
    </w:p>
    <w:p w14:paraId="393A0C2D" w14:textId="5EDC043E"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00C43268">
        <w:rPr>
          <w:rFonts w:cs="Arial"/>
          <w:b/>
          <w:sz w:val="20"/>
          <w:szCs w:val="20"/>
        </w:rPr>
        <w:t xml:space="preserve">     </w:t>
      </w:r>
    </w:p>
    <w:p w14:paraId="399B9B10" w14:textId="6864F4B7" w:rsidR="00C43268" w:rsidRDefault="00C43268" w:rsidP="00806070">
      <w:pPr>
        <w:rPr>
          <w:rFonts w:cs="Arial"/>
          <w:sz w:val="20"/>
        </w:rPr>
      </w:pPr>
      <w:r>
        <w:rPr>
          <w:rFonts w:cs="Arial"/>
          <w:sz w:val="20"/>
        </w:rPr>
        <w:t>The measure equipment effective useful life (EUL) is given by DEER2014 as 15 years</w:t>
      </w:r>
      <w:r>
        <w:rPr>
          <w:rFonts w:cs="Arial"/>
          <w:sz w:val="20"/>
        </w:rPr>
        <w:fldChar w:fldCharType="begin"/>
      </w:r>
      <w:r>
        <w:rPr>
          <w:rFonts w:cs="Arial"/>
          <w:sz w:val="20"/>
        </w:rPr>
        <w:instrText xml:space="preserve"> NOTEREF _Ref190682948 \f \h </w:instrText>
      </w:r>
      <w:r>
        <w:rPr>
          <w:rFonts w:cs="Arial"/>
          <w:sz w:val="20"/>
        </w:rPr>
      </w:r>
      <w:r>
        <w:rPr>
          <w:rFonts w:cs="Arial"/>
          <w:sz w:val="20"/>
        </w:rPr>
        <w:fldChar w:fldCharType="separate"/>
      </w:r>
      <w:r w:rsidRPr="00C43268">
        <w:rPr>
          <w:rStyle w:val="EndnoteReference"/>
        </w:rPr>
        <w:t>8</w:t>
      </w:r>
      <w:r>
        <w:rPr>
          <w:rFonts w:cs="Arial"/>
          <w:sz w:val="20"/>
        </w:rPr>
        <w:fldChar w:fldCharType="end"/>
      </w:r>
      <w:r>
        <w:rPr>
          <w:rFonts w:cs="Arial"/>
          <w:sz w:val="20"/>
        </w:rPr>
        <w:t xml:space="preserve">. </w:t>
      </w:r>
    </w:p>
    <w:p w14:paraId="50E3B7CF" w14:textId="77777777" w:rsidR="00C43268" w:rsidRPr="00C43268" w:rsidRDefault="00C43268" w:rsidP="00806070">
      <w:pPr>
        <w:rPr>
          <w:rFonts w:cs="Arial"/>
          <w:sz w:val="20"/>
        </w:rPr>
      </w:pPr>
    </w:p>
    <w:p w14:paraId="393A0C8A" w14:textId="77777777" w:rsidR="002E0043" w:rsidRPr="002E0043" w:rsidRDefault="001248A3" w:rsidP="002E0043">
      <w:pPr>
        <w:pStyle w:val="Heading2"/>
      </w:pPr>
      <w:bookmarkStart w:id="65" w:name="_Toc304800206"/>
      <w:bookmarkStart w:id="66" w:name="_Toc324318342"/>
      <w:bookmarkStart w:id="67" w:name="_Toc324340486"/>
      <w:bookmarkStart w:id="68" w:name="_Toc38669971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5"/>
      <w:bookmarkEnd w:id="66"/>
      <w:bookmarkEnd w:id="67"/>
      <w:bookmarkEnd w:id="68"/>
    </w:p>
    <w:p w14:paraId="393A0C8B" w14:textId="352E319F" w:rsidR="00393D41" w:rsidRPr="008F48E1" w:rsidRDefault="00393D41" w:rsidP="002E0043">
      <w:pPr>
        <w:rPr>
          <w:rFonts w:cs="Arial"/>
          <w:i/>
          <w:sz w:val="20"/>
          <w:szCs w:val="20"/>
        </w:rPr>
      </w:pPr>
    </w:p>
    <w:p w14:paraId="393A0C8C" w14:textId="61BDF7A3" w:rsidR="00EF7590" w:rsidRDefault="00EE53FF" w:rsidP="002E0043">
      <w:pPr>
        <w:rPr>
          <w:rFonts w:cs="Arial"/>
          <w:b/>
          <w:i/>
          <w:color w:val="FF0000"/>
          <w:sz w:val="20"/>
          <w:szCs w:val="20"/>
        </w:rPr>
      </w:pPr>
      <w:r w:rsidRPr="009E03F0">
        <w:rPr>
          <w:rFonts w:cs="Arial"/>
          <w:b/>
          <w:i/>
        </w:rPr>
        <w:t>Title 20:</w:t>
      </w:r>
      <w:r w:rsidRPr="009E03F0">
        <w:rPr>
          <w:rFonts w:cs="Arial"/>
        </w:rPr>
        <w:t xml:space="preserve"> </w:t>
      </w:r>
      <w:r w:rsidRPr="009E03F0">
        <w:rPr>
          <w:rFonts w:cs="Arial"/>
          <w:sz w:val="20"/>
          <w:szCs w:val="20"/>
        </w:rPr>
        <w:t>This</w:t>
      </w:r>
      <w:r w:rsidR="009E03F0" w:rsidRPr="009E03F0">
        <w:rPr>
          <w:rFonts w:cs="Arial"/>
          <w:sz w:val="20"/>
          <w:szCs w:val="20"/>
        </w:rPr>
        <w:t xml:space="preserve"> measure</w:t>
      </w:r>
      <w:r w:rsidRPr="009E03F0">
        <w:rPr>
          <w:rFonts w:cs="Arial"/>
          <w:sz w:val="20"/>
          <w:szCs w:val="20"/>
        </w:rPr>
        <w:t xml:space="preserve"> do</w:t>
      </w:r>
      <w:r w:rsidR="009E03F0">
        <w:rPr>
          <w:rFonts w:cs="Arial"/>
          <w:sz w:val="20"/>
          <w:szCs w:val="20"/>
        </w:rPr>
        <w:t>e</w:t>
      </w:r>
      <w:r w:rsidR="009E03F0" w:rsidRPr="009E03F0">
        <w:rPr>
          <w:rFonts w:cs="Arial"/>
          <w:sz w:val="20"/>
          <w:szCs w:val="20"/>
        </w:rPr>
        <w:t>s not</w:t>
      </w:r>
      <w:r w:rsidRPr="009E03F0">
        <w:rPr>
          <w:rFonts w:cs="Arial"/>
          <w:sz w:val="20"/>
          <w:szCs w:val="20"/>
        </w:rPr>
        <w:t xml:space="preserve"> fall under Title 20 of the California Energy Regulations.</w:t>
      </w:r>
    </w:p>
    <w:p w14:paraId="393A0C8D" w14:textId="77777777" w:rsidR="00640BB6" w:rsidRPr="00587DDD" w:rsidRDefault="00640BB6" w:rsidP="002E0043">
      <w:pPr>
        <w:rPr>
          <w:b/>
          <w:i/>
        </w:rPr>
      </w:pPr>
    </w:p>
    <w:p w14:paraId="393A0CA0" w14:textId="77777777" w:rsidR="00640BB6" w:rsidRPr="001B4ACB" w:rsidRDefault="00640BB6" w:rsidP="002E0043">
      <w:pPr>
        <w:rPr>
          <w:rFonts w:cs="Arial"/>
          <w:i/>
          <w:sz w:val="20"/>
          <w:szCs w:val="20"/>
        </w:rPr>
      </w:pPr>
    </w:p>
    <w:p w14:paraId="393A0CA1" w14:textId="4FF636DB" w:rsidR="00640BB6" w:rsidRDefault="00EE53FF" w:rsidP="00EE53FF">
      <w:pPr>
        <w:rPr>
          <w:rFonts w:cs="Arial"/>
          <w:sz w:val="20"/>
          <w:szCs w:val="20"/>
        </w:rPr>
      </w:pPr>
      <w:r w:rsidRPr="00F7559F">
        <w:rPr>
          <w:rFonts w:cs="Arial"/>
          <w:b/>
          <w:i/>
        </w:rPr>
        <w:t>Title 24:</w:t>
      </w:r>
      <w:r w:rsidRPr="00F7559F">
        <w:t xml:space="preserve"> </w:t>
      </w:r>
      <w:r w:rsidRPr="00F7559F">
        <w:rPr>
          <w:rFonts w:cs="Arial"/>
          <w:sz w:val="20"/>
          <w:szCs w:val="20"/>
        </w:rPr>
        <w:t>This</w:t>
      </w:r>
      <w:r w:rsidR="00F7559F">
        <w:rPr>
          <w:rFonts w:cs="Arial"/>
          <w:sz w:val="20"/>
          <w:szCs w:val="20"/>
        </w:rPr>
        <w:t xml:space="preserve"> measure </w:t>
      </w:r>
      <w:r w:rsidRPr="00F7559F">
        <w:rPr>
          <w:rFonts w:cs="Arial"/>
          <w:sz w:val="20"/>
          <w:szCs w:val="20"/>
        </w:rPr>
        <w:t>fall</w:t>
      </w:r>
      <w:r w:rsidR="00F7559F">
        <w:rPr>
          <w:rFonts w:cs="Arial"/>
          <w:sz w:val="20"/>
          <w:szCs w:val="20"/>
        </w:rPr>
        <w:t>s</w:t>
      </w:r>
      <w:r w:rsidRPr="00F7559F">
        <w:rPr>
          <w:rFonts w:cs="Arial"/>
          <w:sz w:val="20"/>
          <w:szCs w:val="20"/>
        </w:rPr>
        <w:t xml:space="preserve"> under Title 24 of the California Energy Regulations.</w:t>
      </w:r>
      <w:r w:rsidR="00437BE1" w:rsidRPr="00F7559F">
        <w:rPr>
          <w:rFonts w:cs="Arial"/>
          <w:sz w:val="20"/>
          <w:szCs w:val="20"/>
        </w:rPr>
        <w:t xml:space="preserve"> </w:t>
      </w:r>
      <w:r w:rsidRPr="00F7559F">
        <w:rPr>
          <w:rFonts w:cs="Arial"/>
          <w:sz w:val="20"/>
          <w:szCs w:val="20"/>
        </w:rPr>
        <w:t>Under this regulation, the following is required</w:t>
      </w:r>
      <w:r w:rsidR="00007985">
        <w:rPr>
          <w:rFonts w:cs="Arial"/>
          <w:sz w:val="20"/>
          <w:szCs w:val="20"/>
        </w:rPr>
        <w:t xml:space="preserve"> to meet </w:t>
      </w:r>
      <w:r w:rsidR="00F7559F">
        <w:rPr>
          <w:rFonts w:cs="Arial"/>
          <w:sz w:val="20"/>
          <w:szCs w:val="20"/>
        </w:rPr>
        <w:t>prescriptive compliance:</w:t>
      </w:r>
    </w:p>
    <w:p w14:paraId="4C336D85" w14:textId="77777777" w:rsidR="00F7559F" w:rsidRPr="00F7559F" w:rsidRDefault="00F7559F" w:rsidP="00EE53FF">
      <w:pPr>
        <w:rPr>
          <w:rFonts w:cs="Arial"/>
          <w:sz w:val="20"/>
          <w:szCs w:val="20"/>
        </w:rPr>
      </w:pPr>
    </w:p>
    <w:p w14:paraId="4EB9D075" w14:textId="2C511ECE" w:rsidR="00F7559F" w:rsidRPr="00C55EEB" w:rsidRDefault="00F7559F" w:rsidP="00F7559F">
      <w:pPr>
        <w:pStyle w:val="ListParagraph"/>
        <w:numPr>
          <w:ilvl w:val="0"/>
          <w:numId w:val="22"/>
        </w:numPr>
        <w:autoSpaceDE w:val="0"/>
        <w:autoSpaceDN w:val="0"/>
        <w:adjustRightInd w:val="0"/>
        <w:rPr>
          <w:rFonts w:cs="Arial"/>
          <w:sz w:val="20"/>
          <w:szCs w:val="20"/>
        </w:rPr>
      </w:pPr>
      <w:r w:rsidRPr="00F7559F">
        <w:rPr>
          <w:rFonts w:cs="Arial"/>
          <w:sz w:val="20"/>
          <w:szCs w:val="20"/>
        </w:rPr>
        <w:t xml:space="preserve">DX </w:t>
      </w:r>
      <w:r>
        <w:rPr>
          <w:rFonts w:cs="Arial"/>
          <w:sz w:val="20"/>
          <w:szCs w:val="20"/>
        </w:rPr>
        <w:t>[&gt;=75,000 Btu/</w:t>
      </w:r>
      <w:proofErr w:type="spellStart"/>
      <w:r>
        <w:rPr>
          <w:rFonts w:cs="Arial"/>
          <w:sz w:val="20"/>
          <w:szCs w:val="20"/>
        </w:rPr>
        <w:t>hr</w:t>
      </w:r>
      <w:proofErr w:type="spellEnd"/>
      <w:r>
        <w:rPr>
          <w:rFonts w:cs="Arial"/>
          <w:sz w:val="20"/>
          <w:szCs w:val="20"/>
        </w:rPr>
        <w:t xml:space="preserve">] </w:t>
      </w:r>
      <w:r w:rsidRPr="00F7559F">
        <w:rPr>
          <w:rFonts w:cs="Arial"/>
          <w:sz w:val="20"/>
          <w:szCs w:val="20"/>
        </w:rPr>
        <w:t>and chilled water</w:t>
      </w:r>
      <w:r>
        <w:rPr>
          <w:rFonts w:cs="Arial"/>
          <w:sz w:val="20"/>
          <w:szCs w:val="20"/>
        </w:rPr>
        <w:t xml:space="preserve"> [&gt;=1 HP]</w:t>
      </w:r>
      <w:r w:rsidRPr="00F7559F">
        <w:rPr>
          <w:rFonts w:cs="Arial"/>
          <w:sz w:val="20"/>
          <w:szCs w:val="20"/>
        </w:rPr>
        <w:t xml:space="preserve"> cooling systems that control the capacity of the mechanical cooling directly based on occupied space temperature shall (</w:t>
      </w:r>
      <w:proofErr w:type="spellStart"/>
      <w:r w:rsidRPr="00F7559F">
        <w:rPr>
          <w:rFonts w:cs="Arial"/>
          <w:sz w:val="20"/>
          <w:szCs w:val="20"/>
        </w:rPr>
        <w:t>i</w:t>
      </w:r>
      <w:proofErr w:type="spellEnd"/>
      <w:r w:rsidRPr="00F7559F">
        <w:rPr>
          <w:rFonts w:cs="Arial"/>
          <w:sz w:val="20"/>
          <w:szCs w:val="20"/>
        </w:rPr>
        <w:t>) have a minimum of 2 stages of fan control with no more than 66 percent speed when operating on stage 1; and (ii) draw no more than 40 percent of the fan power at full fan speed, when operating at 66 percent speed.</w:t>
      </w:r>
    </w:p>
    <w:p w14:paraId="0A838E40" w14:textId="77777777" w:rsidR="00C55EEB" w:rsidRDefault="00F7559F" w:rsidP="00C55EEB">
      <w:pPr>
        <w:pStyle w:val="ListParagraph"/>
        <w:numPr>
          <w:ilvl w:val="0"/>
          <w:numId w:val="22"/>
        </w:numPr>
        <w:autoSpaceDE w:val="0"/>
        <w:autoSpaceDN w:val="0"/>
        <w:adjustRightInd w:val="0"/>
        <w:rPr>
          <w:rFonts w:cs="Arial"/>
          <w:sz w:val="20"/>
          <w:szCs w:val="20"/>
        </w:rPr>
      </w:pPr>
      <w:r w:rsidRPr="00F7559F">
        <w:rPr>
          <w:rFonts w:cs="Arial"/>
          <w:sz w:val="20"/>
          <w:szCs w:val="20"/>
        </w:rPr>
        <w:t>All other systems, including but not limited to DX cooling systems and chilled water systems that control the space temperature by modulating the airflow to the space, shall have proportional fan control such that at 50 percent air flow the power draw is no more than 30 percent of the fan power at full fan speed.</w:t>
      </w:r>
    </w:p>
    <w:p w14:paraId="33A34C65" w14:textId="77777777" w:rsidR="00007985" w:rsidRPr="00C55EEB" w:rsidRDefault="00C55EEB" w:rsidP="00C55EEB">
      <w:pPr>
        <w:pStyle w:val="ListParagraph"/>
        <w:numPr>
          <w:ilvl w:val="0"/>
          <w:numId w:val="22"/>
        </w:numPr>
        <w:autoSpaceDE w:val="0"/>
        <w:autoSpaceDN w:val="0"/>
        <w:adjustRightInd w:val="0"/>
        <w:rPr>
          <w:rFonts w:cs="Arial"/>
          <w:sz w:val="20"/>
          <w:szCs w:val="20"/>
        </w:rPr>
      </w:pPr>
      <w:r w:rsidRPr="00C55EEB">
        <w:rPr>
          <w:rFonts w:cs="Arial"/>
          <w:sz w:val="20"/>
          <w:szCs w:val="20"/>
        </w:rPr>
        <w:t>Systems that include an air side economizer to meet 140.4(e</w:t>
      </w:r>
      <w:proofErr w:type="gramStart"/>
      <w:r w:rsidRPr="00C55EEB">
        <w:rPr>
          <w:rFonts w:cs="Arial"/>
          <w:sz w:val="20"/>
          <w:szCs w:val="20"/>
        </w:rPr>
        <w:t>)1</w:t>
      </w:r>
      <w:proofErr w:type="gramEnd"/>
      <w:r w:rsidRPr="00C55EEB">
        <w:rPr>
          <w:rFonts w:cs="Arial"/>
          <w:sz w:val="20"/>
          <w:szCs w:val="20"/>
        </w:rPr>
        <w:t xml:space="preserve"> shall have a minimum of two speeds of fan control during economizer operation.</w:t>
      </w:r>
    </w:p>
    <w:p w14:paraId="393A0CA2" w14:textId="77777777" w:rsidR="00640BB6" w:rsidRDefault="00640BB6" w:rsidP="00EE53FF">
      <w:pPr>
        <w:rPr>
          <w:sz w:val="20"/>
          <w:szCs w:val="20"/>
        </w:rPr>
      </w:pPr>
    </w:p>
    <w:p w14:paraId="3E0BF64E" w14:textId="6BF4F596" w:rsidR="001315E2" w:rsidRPr="001315E2" w:rsidRDefault="001315E2" w:rsidP="00EE53FF">
      <w:pPr>
        <w:rPr>
          <w:sz w:val="20"/>
          <w:szCs w:val="20"/>
        </w:rPr>
      </w:pPr>
      <w:r>
        <w:rPr>
          <w:sz w:val="20"/>
          <w:szCs w:val="20"/>
        </w:rPr>
        <w:t>However, installing a VFD is not required to meet performance compliance of the 2013 Title 24 regulations, nor is it a mandatory measure.</w:t>
      </w:r>
    </w:p>
    <w:p w14:paraId="393A0CB5" w14:textId="3DCDC958" w:rsidR="00EE53FF" w:rsidRPr="00EE53FF" w:rsidRDefault="00EE53FF" w:rsidP="00EE53FF">
      <w:pPr>
        <w:rPr>
          <w:i/>
        </w:rPr>
      </w:pPr>
    </w:p>
    <w:p w14:paraId="393A0DAE" w14:textId="781E1590" w:rsidR="00FA595F" w:rsidRDefault="00EE53FF" w:rsidP="001315E2">
      <w:r w:rsidRPr="001315E2">
        <w:rPr>
          <w:rFonts w:cs="Arial"/>
          <w:b/>
          <w:i/>
        </w:rPr>
        <w:t>Federal Standards:</w:t>
      </w:r>
      <w:r w:rsidRPr="001315E2">
        <w:t xml:space="preserve"> </w:t>
      </w:r>
      <w:r w:rsidR="001315E2">
        <w:rPr>
          <w:rFonts w:cs="Arial"/>
          <w:sz w:val="20"/>
          <w:szCs w:val="20"/>
        </w:rPr>
        <w:t>This measure</w:t>
      </w:r>
      <w:r w:rsidRPr="001315E2">
        <w:rPr>
          <w:rFonts w:cs="Arial"/>
          <w:sz w:val="20"/>
          <w:szCs w:val="20"/>
        </w:rPr>
        <w:t xml:space="preserve"> do</w:t>
      </w:r>
      <w:r w:rsidR="001315E2">
        <w:rPr>
          <w:rFonts w:cs="Arial"/>
          <w:sz w:val="20"/>
          <w:szCs w:val="20"/>
        </w:rPr>
        <w:t>es not</w:t>
      </w:r>
      <w:r w:rsidRPr="001315E2">
        <w:rPr>
          <w:rFonts w:cs="Arial"/>
          <w:sz w:val="20"/>
          <w:szCs w:val="20"/>
        </w:rPr>
        <w:t xml:space="preserve"> fall under Federal DOE or EPA Energy Regulations</w:t>
      </w:r>
      <w:r w:rsidR="001315E2">
        <w:rPr>
          <w:rFonts w:cs="Arial"/>
          <w:sz w:val="20"/>
          <w:szCs w:val="20"/>
        </w:rPr>
        <w:t>.</w:t>
      </w:r>
    </w:p>
    <w:p w14:paraId="39021DDD" w14:textId="77777777" w:rsidR="00073A54" w:rsidRDefault="00073A54">
      <w:pPr>
        <w:rPr>
          <w:rFonts w:cs="Arial"/>
          <w:b/>
          <w:bCs/>
          <w:i/>
          <w:iCs/>
          <w:sz w:val="28"/>
          <w:szCs w:val="28"/>
        </w:rPr>
      </w:pPr>
      <w:bookmarkStart w:id="69" w:name="_Toc304800207"/>
      <w:bookmarkStart w:id="70" w:name="_Toc324318343"/>
      <w:bookmarkStart w:id="71" w:name="_Toc324340487"/>
      <w:bookmarkStart w:id="72" w:name="_Toc386699720"/>
      <w:r>
        <w:br w:type="page"/>
      </w:r>
    </w:p>
    <w:p w14:paraId="393A0DAF" w14:textId="7A23585F" w:rsidR="002E0043" w:rsidRDefault="001248A3" w:rsidP="002E0043">
      <w:pPr>
        <w:pStyle w:val="Heading2"/>
        <w:keepNext w:val="0"/>
      </w:pPr>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9"/>
      <w:bookmarkEnd w:id="70"/>
      <w:bookmarkEnd w:id="71"/>
      <w:bookmarkEnd w:id="72"/>
    </w:p>
    <w:p w14:paraId="393A0DB5" w14:textId="1FB6AC7B" w:rsidR="00A02F0A" w:rsidRPr="00A02F0A" w:rsidRDefault="00A02F0A" w:rsidP="00A35CF8">
      <w:pPr>
        <w:rPr>
          <w:rFonts w:cs="Arial"/>
          <w:sz w:val="20"/>
          <w:szCs w:val="20"/>
        </w:rPr>
      </w:pPr>
      <w:r w:rsidRPr="001315E2">
        <w:rPr>
          <w:rFonts w:cs="Arial"/>
          <w:sz w:val="20"/>
          <w:szCs w:val="20"/>
        </w:rPr>
        <w:t xml:space="preserve">There are no M&amp;V </w:t>
      </w:r>
      <w:r w:rsidR="001315E2">
        <w:rPr>
          <w:rFonts w:cs="Arial"/>
          <w:sz w:val="20"/>
          <w:szCs w:val="20"/>
        </w:rPr>
        <w:t>or</w:t>
      </w:r>
      <w:r w:rsidRPr="001315E2">
        <w:rPr>
          <w:rFonts w:cs="Arial"/>
          <w:sz w:val="20"/>
          <w:szCs w:val="20"/>
        </w:rPr>
        <w:t xml:space="preserve"> other studies which apply to these measures.</w:t>
      </w:r>
      <w:r w:rsidR="00437BE1">
        <w:rPr>
          <w:rFonts w:cs="Arial"/>
          <w:sz w:val="20"/>
          <w:szCs w:val="20"/>
        </w:rPr>
        <w:t xml:space="preserve"> </w:t>
      </w:r>
    </w:p>
    <w:p w14:paraId="393A0EBA" w14:textId="77777777" w:rsidR="009C5CA7" w:rsidRDefault="001248A3" w:rsidP="002E0043">
      <w:pPr>
        <w:pStyle w:val="Heading2"/>
        <w:keepNext w:val="0"/>
      </w:pPr>
      <w:bookmarkStart w:id="73" w:name="_Toc304800208"/>
      <w:bookmarkStart w:id="74" w:name="_Toc324318344"/>
      <w:bookmarkStart w:id="75" w:name="_Toc324340488"/>
      <w:bookmarkStart w:id="76" w:name="_Toc386699721"/>
      <w:r>
        <w:t>1.</w:t>
      </w:r>
      <w:r w:rsidR="00264B03">
        <w:t xml:space="preserve">4.4 </w:t>
      </w:r>
      <w:r w:rsidR="009C5CA7">
        <w:t xml:space="preserve">Assumptions and </w:t>
      </w:r>
      <w:r w:rsidR="00264B03">
        <w:t>Calculations from other sources—Base and Measure Cases</w:t>
      </w:r>
      <w:bookmarkEnd w:id="73"/>
      <w:bookmarkEnd w:id="74"/>
      <w:bookmarkEnd w:id="75"/>
      <w:bookmarkEnd w:id="76"/>
    </w:p>
    <w:p w14:paraId="393A0EBB" w14:textId="77777777" w:rsidR="00A172E6" w:rsidRDefault="00A172E6" w:rsidP="00A172E6">
      <w:pPr>
        <w:rPr>
          <w:rFonts w:cs="Arial"/>
          <w:sz w:val="20"/>
          <w:szCs w:val="20"/>
        </w:rPr>
      </w:pPr>
      <w:r w:rsidRPr="001315E2">
        <w:rPr>
          <w:rFonts w:cs="Arial"/>
          <w:sz w:val="20"/>
          <w:szCs w:val="20"/>
        </w:rPr>
        <w:t xml:space="preserve">There are no further data or calculations provided for the support of the measures in this </w:t>
      </w:r>
      <w:proofErr w:type="spellStart"/>
      <w:r w:rsidRPr="001315E2">
        <w:rPr>
          <w:rFonts w:cs="Arial"/>
          <w:sz w:val="20"/>
          <w:szCs w:val="20"/>
        </w:rPr>
        <w:t>workpaper</w:t>
      </w:r>
      <w:proofErr w:type="spellEnd"/>
      <w:r w:rsidRPr="001315E2">
        <w:rPr>
          <w:rFonts w:cs="Arial"/>
          <w:sz w:val="20"/>
          <w:szCs w:val="20"/>
        </w:rPr>
        <w:t>.</w:t>
      </w:r>
    </w:p>
    <w:p w14:paraId="60D764AB" w14:textId="77777777" w:rsidR="001315E2" w:rsidRDefault="001315E2" w:rsidP="00063FA7">
      <w:pPr>
        <w:rPr>
          <w:rFonts w:cs="Arial"/>
          <w:b/>
          <w:i/>
          <w:sz w:val="28"/>
          <w:szCs w:val="28"/>
        </w:rPr>
      </w:pPr>
    </w:p>
    <w:p w14:paraId="393A0FCC" w14:textId="637A2B2E"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702E14" w:rsidRDefault="00FF4E87" w:rsidP="001C2942">
      <w:pPr>
        <w:pStyle w:val="Reminders"/>
        <w:rPr>
          <w:rFonts w:ascii="Arial" w:hAnsi="Arial" w:cs="Arial"/>
          <w:i w:val="0"/>
          <w:color w:val="auto"/>
          <w:sz w:val="20"/>
          <w:szCs w:val="20"/>
        </w:rPr>
      </w:pPr>
      <w:r w:rsidRPr="00702E14">
        <w:rPr>
          <w:rFonts w:ascii="Arial" w:hAnsi="Arial" w:cs="Arial"/>
          <w:i w:val="0"/>
          <w:color w:val="auto"/>
          <w:sz w:val="20"/>
          <w:szCs w:val="20"/>
        </w:rPr>
        <w:t xml:space="preserve">We are required </w:t>
      </w:r>
      <w:r w:rsidR="001C2942" w:rsidRPr="00702E14">
        <w:rPr>
          <w:rFonts w:ascii="Arial" w:hAnsi="Arial" w:cs="Arial"/>
          <w:i w:val="0"/>
          <w:color w:val="auto"/>
          <w:sz w:val="20"/>
          <w:szCs w:val="20"/>
        </w:rPr>
        <w:t>by CPUC decision 06-06-063 dated June 29, 2006</w:t>
      </w:r>
      <w:r w:rsidRPr="00702E14">
        <w:rPr>
          <w:rFonts w:ascii="Arial" w:hAnsi="Arial" w:cs="Arial"/>
          <w:i w:val="0"/>
          <w:color w:val="auto"/>
          <w:sz w:val="20"/>
          <w:szCs w:val="20"/>
        </w:rPr>
        <w:t xml:space="preserve"> to apply </w:t>
      </w:r>
      <w:r w:rsidR="001C2942" w:rsidRPr="00702E14">
        <w:rPr>
          <w:rFonts w:ascii="Arial" w:hAnsi="Arial" w:cs="Arial"/>
          <w:i w:val="0"/>
          <w:color w:val="auto"/>
          <w:sz w:val="20"/>
          <w:szCs w:val="20"/>
        </w:rPr>
        <w:t xml:space="preserve">time-of-use (TOU) adjustment factors </w:t>
      </w:r>
      <w:r w:rsidRPr="00702E14">
        <w:rPr>
          <w:rFonts w:ascii="Arial" w:hAnsi="Arial" w:cs="Arial"/>
          <w:i w:val="0"/>
          <w:color w:val="auto"/>
          <w:sz w:val="20"/>
          <w:szCs w:val="20"/>
        </w:rPr>
        <w:t>on</w:t>
      </w:r>
      <w:r w:rsidR="001C2942" w:rsidRPr="00702E14">
        <w:rPr>
          <w:rFonts w:ascii="Arial" w:hAnsi="Arial" w:cs="Arial"/>
          <w:i w:val="0"/>
          <w:color w:val="auto"/>
          <w:sz w:val="20"/>
          <w:szCs w:val="20"/>
        </w:rPr>
        <w:t xml:space="preserve"> residential A/C and commercial A/C (packaged and split-system direct-expansion cooling) measures only.</w:t>
      </w:r>
      <w:r w:rsidR="00437BE1" w:rsidRPr="00702E14">
        <w:rPr>
          <w:rFonts w:ascii="Arial" w:hAnsi="Arial" w:cs="Arial"/>
          <w:i w:val="0"/>
          <w:color w:val="auto"/>
          <w:sz w:val="20"/>
          <w:szCs w:val="20"/>
        </w:rPr>
        <w:t xml:space="preserve"> </w:t>
      </w:r>
      <w:r w:rsidR="001C2942" w:rsidRPr="00702E14">
        <w:rPr>
          <w:rFonts w:ascii="Arial" w:hAnsi="Arial" w:cs="Arial"/>
          <w:i w:val="0"/>
          <w:color w:val="auto"/>
          <w:sz w:val="20"/>
          <w:szCs w:val="20"/>
        </w:rPr>
        <w:t xml:space="preserve"> Since this is not an A/C measure, the TOU adjustment factor is 0.</w:t>
      </w:r>
      <w:r w:rsidR="00437BE1" w:rsidRPr="00702E14">
        <w:rPr>
          <w:rFonts w:ascii="Arial" w:hAnsi="Arial" w:cs="Arial"/>
          <w:i w:val="0"/>
          <w:color w:val="auto"/>
          <w:sz w:val="20"/>
          <w:szCs w:val="20"/>
        </w:rPr>
        <w:t xml:space="preserve"> </w:t>
      </w:r>
    </w:p>
    <w:p w14:paraId="393A0FDB" w14:textId="0025AFDA" w:rsidR="00EB43BA" w:rsidRPr="00EB43BA" w:rsidRDefault="00EB43BA" w:rsidP="00702E14">
      <w:pPr>
        <w:pStyle w:val="Caption"/>
        <w:keepNext/>
        <w:ind w:left="1440"/>
        <w:rPr>
          <w:rFonts w:cs="Arial"/>
          <w:b w:val="0"/>
          <w:highlight w:val="yellow"/>
        </w:rPr>
      </w:pPr>
    </w:p>
    <w:p w14:paraId="393A0FDD" w14:textId="53E09240" w:rsidR="001C2942" w:rsidRPr="00EB43BA" w:rsidRDefault="001C2942" w:rsidP="001C2942">
      <w:pPr>
        <w:pStyle w:val="Caption"/>
        <w:keepNext/>
        <w:rPr>
          <w:rFonts w:cs="Arial"/>
          <w:b w:val="0"/>
        </w:rPr>
      </w:pPr>
      <w:r w:rsidRPr="00702E14">
        <w:rPr>
          <w:rFonts w:cs="Arial"/>
          <w:b w:val="0"/>
        </w:rPr>
        <w:t xml:space="preserve">The specific values and results are summarized in </w:t>
      </w:r>
      <w:r w:rsidRPr="00702E14">
        <w:rPr>
          <w:rFonts w:cs="Arial"/>
          <w:b w:val="0"/>
        </w:rPr>
        <w:fldChar w:fldCharType="begin"/>
      </w:r>
      <w:r w:rsidRPr="00702E14">
        <w:rPr>
          <w:rFonts w:cs="Arial"/>
          <w:b w:val="0"/>
        </w:rPr>
        <w:instrText xml:space="preserve"> REF _Ref242757962 \h  \* MERGEFORMAT </w:instrText>
      </w:r>
      <w:r w:rsidRPr="00702E14">
        <w:rPr>
          <w:rFonts w:cs="Arial"/>
          <w:b w:val="0"/>
        </w:rPr>
      </w:r>
      <w:r w:rsidRPr="00702E14">
        <w:rPr>
          <w:rFonts w:cs="Arial"/>
          <w:b w:val="0"/>
        </w:rPr>
        <w:fldChar w:fldCharType="separate"/>
      </w:r>
      <w:r w:rsidR="00E4302B" w:rsidRPr="00702E14">
        <w:rPr>
          <w:rFonts w:cs="Arial"/>
          <w:b w:val="0"/>
          <w:noProof/>
        </w:rPr>
        <w:t xml:space="preserve">Table </w:t>
      </w:r>
      <w:r w:rsidR="00E4302B" w:rsidRPr="00702E14">
        <w:rPr>
          <w:rFonts w:cs="Arial"/>
          <w:noProof/>
        </w:rPr>
        <w:t>6</w:t>
      </w:r>
      <w:r w:rsidRPr="00702E14">
        <w:rPr>
          <w:rFonts w:cs="Arial"/>
          <w:b w:val="0"/>
        </w:rPr>
        <w:fldChar w:fldCharType="end"/>
      </w:r>
      <w:r w:rsidRPr="00702E14">
        <w:rPr>
          <w:rFonts w:cs="Arial"/>
          <w:b w:val="0"/>
        </w:rPr>
        <w:t>.</w:t>
      </w:r>
    </w:p>
    <w:p w14:paraId="393A0FDE" w14:textId="77777777" w:rsidR="001C2942" w:rsidRPr="00EB43BA" w:rsidRDefault="001C2942" w:rsidP="001C2942">
      <w:pPr>
        <w:pStyle w:val="Caption"/>
        <w:keepNext/>
        <w:jc w:val="center"/>
        <w:rPr>
          <w:rFonts w:cs="Arial"/>
        </w:rPr>
      </w:pPr>
      <w:bookmarkStart w:id="77" w:name="_Ref242757962"/>
    </w:p>
    <w:p w14:paraId="393A0FDF" w14:textId="77777777" w:rsidR="001C2942" w:rsidRPr="00EB43BA" w:rsidRDefault="001C2942" w:rsidP="001C2942">
      <w:pPr>
        <w:pStyle w:val="Caption"/>
        <w:keepNext/>
        <w:jc w:val="center"/>
        <w:rPr>
          <w:rFonts w:cs="Arial"/>
        </w:rPr>
      </w:pPr>
      <w:bookmarkStart w:id="78" w:name="_Toc386010918"/>
      <w:r w:rsidRPr="00EB43BA">
        <w:rPr>
          <w:rFonts w:cs="Arial"/>
        </w:rPr>
        <w:t xml:space="preserve">Table </w:t>
      </w:r>
      <w:r w:rsidRPr="00EB43BA">
        <w:rPr>
          <w:rFonts w:cs="Arial"/>
        </w:rPr>
        <w:fldChar w:fldCharType="begin"/>
      </w:r>
      <w:r w:rsidRPr="00EB43BA">
        <w:rPr>
          <w:rFonts w:cs="Arial"/>
        </w:rPr>
        <w:instrText xml:space="preserve"> SEQ Table \* ARABIC </w:instrText>
      </w:r>
      <w:r w:rsidRPr="00EB43BA">
        <w:rPr>
          <w:rFonts w:cs="Arial"/>
        </w:rPr>
        <w:fldChar w:fldCharType="separate"/>
      </w:r>
      <w:r w:rsidR="00ED7D3D">
        <w:rPr>
          <w:rFonts w:cs="Arial"/>
          <w:noProof/>
        </w:rPr>
        <w:t>6</w:t>
      </w:r>
      <w:r w:rsidRPr="00EB43BA">
        <w:rPr>
          <w:rFonts w:cs="Arial"/>
        </w:rPr>
        <w:fldChar w:fldCharType="end"/>
      </w:r>
      <w:bookmarkEnd w:id="77"/>
      <w:r w:rsidR="00437BE1">
        <w:rPr>
          <w:rFonts w:cs="Arial"/>
        </w:rPr>
        <w:t xml:space="preserve"> </w:t>
      </w:r>
      <w:r w:rsidRPr="00EB43BA">
        <w:rPr>
          <w:rFonts w:cs="Arial"/>
        </w:rPr>
        <w:t>TOU Adjustment Factors</w:t>
      </w:r>
      <w:bookmarkEnd w:id="78"/>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1E4C31" w14:paraId="393A0FE4" w14:textId="77777777" w:rsidTr="001E4C31">
        <w:tc>
          <w:tcPr>
            <w:tcW w:w="1578" w:type="pct"/>
            <w:shd w:val="clear" w:color="auto" w:fill="262626"/>
            <w:vAlign w:val="bottom"/>
          </w:tcPr>
          <w:p w14:paraId="393A0FE0"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393A0FE1"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393A0FE2"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393A0FE3"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w:t>
            </w:r>
          </w:p>
        </w:tc>
      </w:tr>
      <w:tr w:rsidR="001C2942" w:rsidRPr="00EB43BA" w14:paraId="393A0FE9" w14:textId="77777777" w:rsidTr="001E4C31">
        <w:tc>
          <w:tcPr>
            <w:tcW w:w="1578" w:type="pct"/>
            <w:shd w:val="pct5" w:color="000000" w:fill="FFFFFF"/>
            <w:vAlign w:val="bottom"/>
          </w:tcPr>
          <w:p w14:paraId="393A0FE5" w14:textId="25804037" w:rsidR="001C2942" w:rsidRPr="00702E14" w:rsidRDefault="00702E14" w:rsidP="001E4C31">
            <w:pPr>
              <w:jc w:val="center"/>
              <w:rPr>
                <w:rFonts w:cs="Arial"/>
                <w:sz w:val="20"/>
                <w:szCs w:val="20"/>
              </w:rPr>
            </w:pPr>
            <w:r w:rsidRPr="00702E14">
              <w:rPr>
                <w:rFonts w:cs="Arial"/>
                <w:sz w:val="20"/>
                <w:szCs w:val="20"/>
              </w:rPr>
              <w:t>VFD</w:t>
            </w:r>
          </w:p>
        </w:tc>
        <w:tc>
          <w:tcPr>
            <w:tcW w:w="712" w:type="pct"/>
            <w:shd w:val="pct5" w:color="000000" w:fill="FFFFFF"/>
            <w:vAlign w:val="bottom"/>
          </w:tcPr>
          <w:p w14:paraId="393A0FE6" w14:textId="77777777" w:rsidR="001C2942" w:rsidRPr="00702E14" w:rsidRDefault="001C2942" w:rsidP="001E4C31">
            <w:pPr>
              <w:jc w:val="center"/>
              <w:rPr>
                <w:rFonts w:cs="Arial"/>
                <w:sz w:val="20"/>
                <w:szCs w:val="20"/>
              </w:rPr>
            </w:pPr>
            <w:r w:rsidRPr="00702E14">
              <w:rPr>
                <w:rFonts w:cs="Arial"/>
                <w:sz w:val="20"/>
                <w:szCs w:val="20"/>
              </w:rPr>
              <w:t>0</w:t>
            </w:r>
          </w:p>
        </w:tc>
        <w:tc>
          <w:tcPr>
            <w:tcW w:w="1355" w:type="pct"/>
            <w:shd w:val="pct5" w:color="000000" w:fill="FFFFFF"/>
            <w:vAlign w:val="bottom"/>
          </w:tcPr>
          <w:p w14:paraId="393A0FE7" w14:textId="77777777" w:rsidR="001C2942" w:rsidRPr="00702E14" w:rsidRDefault="001C2942" w:rsidP="001E4C31">
            <w:pPr>
              <w:jc w:val="center"/>
              <w:rPr>
                <w:rFonts w:cs="Arial"/>
                <w:sz w:val="20"/>
                <w:szCs w:val="20"/>
              </w:rPr>
            </w:pPr>
            <w:r w:rsidRPr="00702E14">
              <w:rPr>
                <w:rFonts w:cs="Arial"/>
                <w:sz w:val="20"/>
                <w:szCs w:val="20"/>
              </w:rPr>
              <w:t>0</w:t>
            </w:r>
          </w:p>
        </w:tc>
        <w:tc>
          <w:tcPr>
            <w:tcW w:w="1355" w:type="pct"/>
            <w:shd w:val="pct5" w:color="000000" w:fill="FFFFFF"/>
            <w:vAlign w:val="bottom"/>
          </w:tcPr>
          <w:p w14:paraId="393A0FE8" w14:textId="77777777" w:rsidR="001C2942" w:rsidRPr="00702E14" w:rsidRDefault="001C2942" w:rsidP="001E4C31">
            <w:pPr>
              <w:jc w:val="center"/>
              <w:rPr>
                <w:rFonts w:cs="Arial"/>
                <w:sz w:val="20"/>
                <w:szCs w:val="20"/>
              </w:rPr>
            </w:pPr>
            <w:r w:rsidRPr="00702E14">
              <w:rPr>
                <w:rFonts w:cs="Arial"/>
                <w:sz w:val="20"/>
                <w:szCs w:val="20"/>
              </w:rPr>
              <w:t>0</w:t>
            </w:r>
          </w:p>
        </w:tc>
      </w:tr>
    </w:tbl>
    <w:p w14:paraId="393A0FED" w14:textId="77777777" w:rsidR="001C2942" w:rsidRDefault="001C2942" w:rsidP="00A02F0A"/>
    <w:p w14:paraId="1AB20CDD" w14:textId="77777777" w:rsidR="00F10CCE" w:rsidRDefault="00F10CCE" w:rsidP="00A02F0A"/>
    <w:p w14:paraId="393A0FEE" w14:textId="65BF1DB1" w:rsidR="00C069A2" w:rsidRPr="00EA38B4" w:rsidRDefault="001248A3" w:rsidP="00895837">
      <w:pPr>
        <w:rPr>
          <w:rFonts w:cs="Arial"/>
          <w:b/>
          <w:i/>
          <w:sz w:val="28"/>
          <w:szCs w:val="28"/>
        </w:rPr>
      </w:pPr>
      <w:bookmarkStart w:id="79"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9"/>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Pr="00ED4EC4" w:rsidRDefault="001A3026" w:rsidP="001178BE">
      <w:pPr>
        <w:keepNext/>
        <w:rPr>
          <w:rFonts w:cs="Arial"/>
          <w:b/>
          <w:sz w:val="20"/>
          <w:szCs w:val="20"/>
        </w:rPr>
      </w:pPr>
    </w:p>
    <w:tbl>
      <w:tblPr>
        <w:tblpPr w:leftFromText="180" w:rightFromText="180" w:vertAnchor="text" w:tblpY="1"/>
        <w:tblOverlap w:val="neve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74"/>
        <w:gridCol w:w="1399"/>
        <w:gridCol w:w="337"/>
        <w:gridCol w:w="1399"/>
      </w:tblGrid>
      <w:tr w:rsidR="00533C9F" w:rsidRPr="001E4C31" w14:paraId="393A0FF7" w14:textId="77777777" w:rsidTr="00C21867">
        <w:trPr>
          <w:gridAfter w:val="1"/>
          <w:wAfter w:w="1399" w:type="dxa"/>
        </w:trPr>
        <w:tc>
          <w:tcPr>
            <w:tcW w:w="1772" w:type="dxa"/>
            <w:shd w:val="clear" w:color="auto" w:fill="262626"/>
            <w:vAlign w:val="bottom"/>
          </w:tcPr>
          <w:p w14:paraId="393A0FF1"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66F26E10" w:rsidR="00533C9F" w:rsidRPr="001E4C31" w:rsidRDefault="00533C9F" w:rsidP="00C21867">
            <w:pPr>
              <w:keepNext/>
              <w:keepLines/>
              <w:jc w:val="center"/>
              <w:rPr>
                <w:rFonts w:cs="Arial"/>
                <w:b/>
                <w:bCs/>
                <w:color w:val="F2F2F2"/>
                <w:sz w:val="20"/>
                <w:szCs w:val="20"/>
              </w:rPr>
            </w:pPr>
            <w:r>
              <w:rPr>
                <w:rFonts w:cs="Arial"/>
                <w:b/>
                <w:bCs/>
                <w:color w:val="F2F2F2"/>
                <w:sz w:val="20"/>
                <w:szCs w:val="20"/>
              </w:rPr>
              <w:t xml:space="preserve">Base Case </w:t>
            </w:r>
            <w:r w:rsidRPr="001E4C31">
              <w:rPr>
                <w:rFonts w:cs="Arial"/>
                <w:b/>
                <w:bCs/>
                <w:color w:val="F2F2F2"/>
                <w:sz w:val="20"/>
                <w:szCs w:val="20"/>
              </w:rPr>
              <w:t>Average Value</w:t>
            </w:r>
          </w:p>
        </w:tc>
        <w:tc>
          <w:tcPr>
            <w:tcW w:w="1473" w:type="dxa"/>
            <w:gridSpan w:val="2"/>
            <w:shd w:val="clear" w:color="auto" w:fill="262626"/>
            <w:vAlign w:val="bottom"/>
          </w:tcPr>
          <w:p w14:paraId="393A0FF5"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gridSpan w:val="2"/>
            <w:shd w:val="clear" w:color="auto" w:fill="262626"/>
            <w:vAlign w:val="bottom"/>
          </w:tcPr>
          <w:p w14:paraId="393A0FF6"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Reference Section</w:t>
            </w:r>
          </w:p>
        </w:tc>
      </w:tr>
      <w:tr w:rsidR="00533C9F" w:rsidRPr="00783DAC" w14:paraId="393A0FFE" w14:textId="77777777" w:rsidTr="00C21867">
        <w:trPr>
          <w:gridAfter w:val="1"/>
          <w:wAfter w:w="1399" w:type="dxa"/>
        </w:trPr>
        <w:tc>
          <w:tcPr>
            <w:tcW w:w="1772" w:type="dxa"/>
            <w:shd w:val="pct5" w:color="000000" w:fill="FFFFFF"/>
            <w:vAlign w:val="bottom"/>
          </w:tcPr>
          <w:p w14:paraId="393A0FF8" w14:textId="77777777" w:rsidR="00533C9F" w:rsidRPr="001E4C31" w:rsidRDefault="00533C9F" w:rsidP="00C21867">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77777777" w:rsidR="00533C9F" w:rsidRPr="001E4C31" w:rsidRDefault="00533C9F" w:rsidP="00C21867">
            <w:pPr>
              <w:keepNext/>
              <w:jc w:val="center"/>
              <w:rPr>
                <w:rFonts w:cs="Arial"/>
                <w:sz w:val="20"/>
                <w:szCs w:val="20"/>
                <w:highlight w:val="yellow"/>
              </w:rPr>
            </w:pPr>
            <w:r w:rsidRPr="00DB133A">
              <w:rPr>
                <w:rFonts w:cs="Arial"/>
                <w:sz w:val="20"/>
                <w:szCs w:val="20"/>
              </w:rPr>
              <w:t>CZ, BT, BV</w:t>
            </w:r>
          </w:p>
        </w:tc>
        <w:tc>
          <w:tcPr>
            <w:tcW w:w="1461" w:type="dxa"/>
            <w:shd w:val="pct5" w:color="000000" w:fill="FFFFFF"/>
            <w:vAlign w:val="bottom"/>
          </w:tcPr>
          <w:p w14:paraId="393A0FFA" w14:textId="7D754DA1" w:rsidR="00533C9F" w:rsidRPr="001E4C31" w:rsidRDefault="00533C9F" w:rsidP="00C21867">
            <w:pPr>
              <w:keepNext/>
              <w:jc w:val="center"/>
              <w:rPr>
                <w:rFonts w:cs="Arial"/>
                <w:sz w:val="20"/>
                <w:szCs w:val="20"/>
              </w:rPr>
            </w:pPr>
            <w:r>
              <w:rPr>
                <w:rFonts w:cs="Arial"/>
                <w:sz w:val="20"/>
                <w:szCs w:val="20"/>
              </w:rPr>
              <w:t>Varies</w:t>
            </w:r>
          </w:p>
        </w:tc>
        <w:tc>
          <w:tcPr>
            <w:tcW w:w="1473" w:type="dxa"/>
            <w:gridSpan w:val="2"/>
            <w:shd w:val="pct5" w:color="000000" w:fill="FFFFFF"/>
            <w:vAlign w:val="bottom"/>
          </w:tcPr>
          <w:p w14:paraId="393A0FFC" w14:textId="0587CD62" w:rsidR="00533C9F" w:rsidRPr="00533C9F" w:rsidRDefault="00533C9F" w:rsidP="00C21867">
            <w:pPr>
              <w:keepNext/>
              <w:jc w:val="center"/>
              <w:rPr>
                <w:rFonts w:cs="Arial"/>
                <w:sz w:val="20"/>
                <w:szCs w:val="20"/>
              </w:rPr>
            </w:pPr>
            <w:r w:rsidRPr="00533C9F">
              <w:rPr>
                <w:rFonts w:cs="Arial"/>
                <w:sz w:val="20"/>
                <w:szCs w:val="20"/>
              </w:rPr>
              <w:t>Va</w:t>
            </w:r>
            <w:r>
              <w:rPr>
                <w:rFonts w:cs="Arial"/>
                <w:sz w:val="20"/>
                <w:szCs w:val="20"/>
              </w:rPr>
              <w:t>ries</w:t>
            </w:r>
          </w:p>
        </w:tc>
        <w:tc>
          <w:tcPr>
            <w:tcW w:w="1736" w:type="dxa"/>
            <w:gridSpan w:val="2"/>
            <w:shd w:val="pct5" w:color="000000" w:fill="FFFFFF"/>
            <w:vAlign w:val="bottom"/>
          </w:tcPr>
          <w:p w14:paraId="393A0FFD" w14:textId="77777777" w:rsidR="00533C9F" w:rsidRPr="00533C9F" w:rsidRDefault="00533C9F" w:rsidP="00C21867">
            <w:pPr>
              <w:keepNext/>
              <w:jc w:val="center"/>
              <w:rPr>
                <w:rFonts w:cs="Arial"/>
                <w:sz w:val="20"/>
                <w:szCs w:val="20"/>
              </w:rPr>
            </w:pPr>
            <w:r w:rsidRPr="00533C9F">
              <w:rPr>
                <w:rFonts w:cs="Arial"/>
                <w:sz w:val="20"/>
                <w:szCs w:val="20"/>
              </w:rPr>
              <w:t>Section 1.4.1</w:t>
            </w:r>
          </w:p>
        </w:tc>
      </w:tr>
      <w:tr w:rsidR="00533C9F" w:rsidRPr="00783DAC" w14:paraId="393A1005" w14:textId="77777777" w:rsidTr="00C21867">
        <w:trPr>
          <w:gridAfter w:val="1"/>
          <w:wAfter w:w="1399" w:type="dxa"/>
        </w:trPr>
        <w:tc>
          <w:tcPr>
            <w:tcW w:w="1772" w:type="dxa"/>
            <w:shd w:val="pct20" w:color="000000" w:fill="FFFFFF"/>
            <w:vAlign w:val="bottom"/>
          </w:tcPr>
          <w:p w14:paraId="393A0FFF" w14:textId="77777777" w:rsidR="00533C9F" w:rsidRPr="001E4C31" w:rsidRDefault="00533C9F" w:rsidP="00C21867">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393A1000" w14:textId="77777777" w:rsidR="00533C9F" w:rsidRPr="001E4C31" w:rsidRDefault="00533C9F" w:rsidP="00C21867">
            <w:pPr>
              <w:keepNext/>
              <w:jc w:val="center"/>
              <w:rPr>
                <w:rFonts w:cs="Arial"/>
                <w:sz w:val="20"/>
                <w:szCs w:val="20"/>
                <w:highlight w:val="yellow"/>
              </w:rPr>
            </w:pPr>
            <w:r w:rsidRPr="00DB133A">
              <w:rPr>
                <w:rFonts w:cs="Arial"/>
                <w:sz w:val="20"/>
                <w:szCs w:val="20"/>
              </w:rPr>
              <w:t>CZ, BT, BV, IE</w:t>
            </w:r>
          </w:p>
        </w:tc>
        <w:tc>
          <w:tcPr>
            <w:tcW w:w="1461" w:type="dxa"/>
            <w:shd w:val="pct20" w:color="000000" w:fill="FFFFFF"/>
            <w:vAlign w:val="bottom"/>
          </w:tcPr>
          <w:p w14:paraId="393A1001" w14:textId="41063355" w:rsidR="00533C9F" w:rsidRPr="001E4C31" w:rsidRDefault="00DB133A" w:rsidP="00C21867">
            <w:pPr>
              <w:keepNext/>
              <w:jc w:val="center"/>
              <w:rPr>
                <w:rFonts w:cs="Arial"/>
                <w:sz w:val="20"/>
                <w:szCs w:val="20"/>
              </w:rPr>
            </w:pPr>
            <w:r>
              <w:rPr>
                <w:rFonts w:cs="Arial"/>
                <w:sz w:val="20"/>
                <w:szCs w:val="20"/>
              </w:rPr>
              <w:t>Varies</w:t>
            </w:r>
          </w:p>
        </w:tc>
        <w:tc>
          <w:tcPr>
            <w:tcW w:w="1473" w:type="dxa"/>
            <w:gridSpan w:val="2"/>
            <w:shd w:val="pct20" w:color="000000" w:fill="FFFFFF"/>
            <w:vAlign w:val="bottom"/>
          </w:tcPr>
          <w:p w14:paraId="393A1003" w14:textId="25EC1314" w:rsidR="00533C9F" w:rsidRPr="001E4C31" w:rsidRDefault="00DB133A" w:rsidP="00C21867">
            <w:pPr>
              <w:keepNext/>
              <w:jc w:val="center"/>
              <w:rPr>
                <w:rFonts w:cs="Arial"/>
                <w:sz w:val="20"/>
                <w:szCs w:val="20"/>
              </w:rPr>
            </w:pPr>
            <w:r>
              <w:rPr>
                <w:rFonts w:cs="Arial"/>
                <w:sz w:val="20"/>
                <w:szCs w:val="20"/>
              </w:rPr>
              <w:t>Varies</w:t>
            </w:r>
          </w:p>
        </w:tc>
        <w:tc>
          <w:tcPr>
            <w:tcW w:w="1736" w:type="dxa"/>
            <w:gridSpan w:val="2"/>
            <w:shd w:val="pct20" w:color="000000" w:fill="FFFFFF"/>
            <w:vAlign w:val="bottom"/>
          </w:tcPr>
          <w:p w14:paraId="393A1004" w14:textId="2BD7E1C4" w:rsidR="00533C9F" w:rsidRPr="001E4C31" w:rsidRDefault="00C21867" w:rsidP="00C21867">
            <w:pPr>
              <w:keepNext/>
              <w:jc w:val="center"/>
              <w:rPr>
                <w:rFonts w:cs="Arial"/>
                <w:sz w:val="20"/>
                <w:szCs w:val="20"/>
              </w:rPr>
            </w:pPr>
            <w:r>
              <w:rPr>
                <w:rFonts w:cs="Arial"/>
                <w:sz w:val="20"/>
                <w:szCs w:val="20"/>
              </w:rPr>
              <w:t>Section 2.3</w:t>
            </w:r>
          </w:p>
        </w:tc>
      </w:tr>
      <w:tr w:rsidR="00533C9F" w:rsidRPr="00783DAC" w14:paraId="393A100C" w14:textId="77777777" w:rsidTr="00C21867">
        <w:trPr>
          <w:gridAfter w:val="1"/>
          <w:wAfter w:w="1399" w:type="dxa"/>
        </w:trPr>
        <w:tc>
          <w:tcPr>
            <w:tcW w:w="1772" w:type="dxa"/>
            <w:shd w:val="pct5" w:color="000000" w:fill="FFFFFF"/>
            <w:vAlign w:val="bottom"/>
          </w:tcPr>
          <w:p w14:paraId="393A1006" w14:textId="77777777" w:rsidR="00533C9F" w:rsidRPr="001E4C31" w:rsidRDefault="00533C9F" w:rsidP="00C21867">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77777777" w:rsidR="00533C9F" w:rsidRPr="001E4C31" w:rsidRDefault="00533C9F" w:rsidP="00C21867">
            <w:pPr>
              <w:keepNext/>
              <w:jc w:val="center"/>
              <w:rPr>
                <w:rFonts w:cs="Arial"/>
                <w:sz w:val="20"/>
                <w:szCs w:val="20"/>
                <w:highlight w:val="yellow"/>
              </w:rPr>
            </w:pPr>
            <w:r w:rsidRPr="00DB133A">
              <w:rPr>
                <w:rFonts w:cs="Arial"/>
                <w:sz w:val="20"/>
                <w:szCs w:val="20"/>
              </w:rPr>
              <w:t>CZ, BT, BV</w:t>
            </w:r>
          </w:p>
        </w:tc>
        <w:tc>
          <w:tcPr>
            <w:tcW w:w="1461" w:type="dxa"/>
            <w:shd w:val="pct5" w:color="000000" w:fill="FFFFFF"/>
            <w:vAlign w:val="bottom"/>
          </w:tcPr>
          <w:p w14:paraId="393A1008" w14:textId="5555137A" w:rsidR="00533C9F" w:rsidRPr="001E4C31" w:rsidRDefault="00DB133A" w:rsidP="00C21867">
            <w:pPr>
              <w:keepNext/>
              <w:jc w:val="center"/>
              <w:rPr>
                <w:rFonts w:cs="Arial"/>
                <w:sz w:val="20"/>
                <w:szCs w:val="20"/>
              </w:rPr>
            </w:pPr>
            <w:r>
              <w:rPr>
                <w:rFonts w:cs="Arial"/>
                <w:sz w:val="20"/>
                <w:szCs w:val="20"/>
              </w:rPr>
              <w:t>N/A</w:t>
            </w:r>
          </w:p>
        </w:tc>
        <w:tc>
          <w:tcPr>
            <w:tcW w:w="1473" w:type="dxa"/>
            <w:gridSpan w:val="2"/>
            <w:shd w:val="pct5" w:color="000000" w:fill="FFFFFF"/>
            <w:vAlign w:val="bottom"/>
          </w:tcPr>
          <w:p w14:paraId="393A100A" w14:textId="3BD90364" w:rsidR="00533C9F" w:rsidRPr="001E4C31" w:rsidRDefault="00DB133A" w:rsidP="00C21867">
            <w:pPr>
              <w:keepNext/>
              <w:jc w:val="center"/>
              <w:rPr>
                <w:rFonts w:cs="Arial"/>
                <w:sz w:val="20"/>
                <w:szCs w:val="20"/>
              </w:rPr>
            </w:pPr>
            <w:r>
              <w:rPr>
                <w:rFonts w:cs="Arial"/>
                <w:sz w:val="20"/>
                <w:szCs w:val="20"/>
              </w:rPr>
              <w:t>N/A</w:t>
            </w:r>
          </w:p>
        </w:tc>
        <w:tc>
          <w:tcPr>
            <w:tcW w:w="1736" w:type="dxa"/>
            <w:gridSpan w:val="2"/>
            <w:shd w:val="pct5" w:color="000000" w:fill="FFFFFF"/>
            <w:vAlign w:val="bottom"/>
          </w:tcPr>
          <w:p w14:paraId="393A100B" w14:textId="13FCD959" w:rsidR="00533C9F" w:rsidRPr="001E4C31" w:rsidRDefault="00C21867" w:rsidP="00C21867">
            <w:pPr>
              <w:keepNext/>
              <w:jc w:val="center"/>
              <w:rPr>
                <w:rFonts w:cs="Arial"/>
                <w:sz w:val="20"/>
                <w:szCs w:val="20"/>
              </w:rPr>
            </w:pPr>
            <w:r>
              <w:rPr>
                <w:rFonts w:cs="Arial"/>
                <w:sz w:val="20"/>
                <w:szCs w:val="20"/>
              </w:rPr>
              <w:t>N/A</w:t>
            </w:r>
          </w:p>
        </w:tc>
      </w:tr>
      <w:tr w:rsidR="00533C9F" w:rsidRPr="00783DAC" w14:paraId="393A1013" w14:textId="77777777" w:rsidTr="00C21867">
        <w:trPr>
          <w:gridAfter w:val="1"/>
          <w:wAfter w:w="1399" w:type="dxa"/>
        </w:trPr>
        <w:tc>
          <w:tcPr>
            <w:tcW w:w="1772" w:type="dxa"/>
            <w:shd w:val="pct20" w:color="000000" w:fill="FFFFFF"/>
            <w:vAlign w:val="bottom"/>
          </w:tcPr>
          <w:p w14:paraId="393A100D" w14:textId="77777777" w:rsidR="00533C9F" w:rsidRPr="001E4C31" w:rsidRDefault="00533C9F" w:rsidP="00C21867">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393A100E" w14:textId="09F72E4A" w:rsidR="00533C9F" w:rsidRPr="001E4C31" w:rsidRDefault="004B3AFA" w:rsidP="00C21867">
            <w:pPr>
              <w:keepNext/>
              <w:jc w:val="center"/>
              <w:rPr>
                <w:rFonts w:cs="Arial"/>
                <w:sz w:val="20"/>
                <w:szCs w:val="20"/>
                <w:highlight w:val="yellow"/>
              </w:rPr>
            </w:pPr>
            <w:r>
              <w:rPr>
                <w:rFonts w:cs="Arial"/>
                <w:sz w:val="20"/>
                <w:szCs w:val="20"/>
              </w:rPr>
              <w:t>REA</w:t>
            </w:r>
          </w:p>
        </w:tc>
        <w:tc>
          <w:tcPr>
            <w:tcW w:w="1461" w:type="dxa"/>
            <w:shd w:val="pct20" w:color="000000" w:fill="FFFFFF"/>
            <w:vAlign w:val="bottom"/>
          </w:tcPr>
          <w:p w14:paraId="393A100F" w14:textId="0F63E587" w:rsidR="00533C9F" w:rsidRPr="001E4C31" w:rsidRDefault="00DB133A" w:rsidP="00C21867">
            <w:pPr>
              <w:keepNext/>
              <w:jc w:val="center"/>
              <w:rPr>
                <w:rFonts w:cs="Arial"/>
                <w:sz w:val="20"/>
                <w:szCs w:val="20"/>
              </w:rPr>
            </w:pPr>
            <w:r>
              <w:rPr>
                <w:rFonts w:cs="Arial"/>
                <w:sz w:val="20"/>
                <w:szCs w:val="20"/>
              </w:rPr>
              <w:t>Varies</w:t>
            </w:r>
          </w:p>
        </w:tc>
        <w:tc>
          <w:tcPr>
            <w:tcW w:w="1473" w:type="dxa"/>
            <w:gridSpan w:val="2"/>
            <w:shd w:val="pct20" w:color="000000" w:fill="FFFFFF"/>
            <w:vAlign w:val="bottom"/>
          </w:tcPr>
          <w:p w14:paraId="393A1011" w14:textId="0669297D" w:rsidR="00533C9F" w:rsidRPr="001E4C31" w:rsidRDefault="00DB133A" w:rsidP="00C21867">
            <w:pPr>
              <w:keepNext/>
              <w:jc w:val="center"/>
              <w:rPr>
                <w:rFonts w:cs="Arial"/>
                <w:sz w:val="20"/>
                <w:szCs w:val="20"/>
              </w:rPr>
            </w:pPr>
            <w:r>
              <w:rPr>
                <w:rFonts w:cs="Arial"/>
                <w:sz w:val="20"/>
                <w:szCs w:val="20"/>
              </w:rPr>
              <w:t>Varies</w:t>
            </w:r>
          </w:p>
        </w:tc>
        <w:tc>
          <w:tcPr>
            <w:tcW w:w="1736" w:type="dxa"/>
            <w:gridSpan w:val="2"/>
            <w:shd w:val="pct20" w:color="000000" w:fill="FFFFFF"/>
            <w:vAlign w:val="bottom"/>
          </w:tcPr>
          <w:p w14:paraId="393A1012" w14:textId="662AE733" w:rsidR="00533C9F" w:rsidRPr="001E4C31" w:rsidRDefault="00C21867" w:rsidP="00C21867">
            <w:pPr>
              <w:keepNext/>
              <w:jc w:val="center"/>
              <w:rPr>
                <w:rFonts w:cs="Arial"/>
                <w:sz w:val="20"/>
                <w:szCs w:val="20"/>
              </w:rPr>
            </w:pPr>
            <w:r>
              <w:rPr>
                <w:rFonts w:cs="Arial"/>
                <w:sz w:val="20"/>
                <w:szCs w:val="20"/>
              </w:rPr>
              <w:t>Section 4.3.1</w:t>
            </w:r>
          </w:p>
        </w:tc>
      </w:tr>
      <w:tr w:rsidR="00533C9F" w:rsidRPr="00783DAC" w14:paraId="393A101A" w14:textId="77777777" w:rsidTr="00C21867">
        <w:trPr>
          <w:gridAfter w:val="1"/>
          <w:wAfter w:w="1399" w:type="dxa"/>
        </w:trPr>
        <w:tc>
          <w:tcPr>
            <w:tcW w:w="1772" w:type="dxa"/>
            <w:shd w:val="pct5" w:color="000000" w:fill="FFFFFF"/>
            <w:vAlign w:val="bottom"/>
          </w:tcPr>
          <w:p w14:paraId="393A1014" w14:textId="77777777" w:rsidR="00533C9F" w:rsidRPr="001E4C31" w:rsidRDefault="00533C9F" w:rsidP="00C21867">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393A1015" w14:textId="1C6AFF1B" w:rsidR="00533C9F" w:rsidRPr="00DB133A" w:rsidRDefault="004B3AFA" w:rsidP="00C21867">
            <w:pPr>
              <w:keepNext/>
              <w:jc w:val="center"/>
              <w:rPr>
                <w:rFonts w:cs="Arial"/>
                <w:sz w:val="20"/>
                <w:szCs w:val="20"/>
              </w:rPr>
            </w:pPr>
            <w:r>
              <w:rPr>
                <w:rFonts w:cs="Arial"/>
                <w:sz w:val="20"/>
                <w:szCs w:val="20"/>
              </w:rPr>
              <w:t>REA</w:t>
            </w:r>
          </w:p>
        </w:tc>
        <w:tc>
          <w:tcPr>
            <w:tcW w:w="1461" w:type="dxa"/>
            <w:shd w:val="pct5" w:color="000000" w:fill="FFFFFF"/>
            <w:vAlign w:val="bottom"/>
          </w:tcPr>
          <w:p w14:paraId="393A1016" w14:textId="119353CE" w:rsidR="00533C9F" w:rsidRPr="001E4C31" w:rsidRDefault="00C21867" w:rsidP="00C21867">
            <w:pPr>
              <w:keepNext/>
              <w:jc w:val="center"/>
              <w:rPr>
                <w:rFonts w:cs="Arial"/>
                <w:sz w:val="20"/>
                <w:szCs w:val="20"/>
              </w:rPr>
            </w:pPr>
            <w:r>
              <w:rPr>
                <w:rFonts w:cs="Arial"/>
                <w:sz w:val="20"/>
                <w:szCs w:val="20"/>
              </w:rPr>
              <w:t>Varies</w:t>
            </w:r>
          </w:p>
        </w:tc>
        <w:tc>
          <w:tcPr>
            <w:tcW w:w="1473" w:type="dxa"/>
            <w:gridSpan w:val="2"/>
            <w:shd w:val="pct5" w:color="000000" w:fill="FFFFFF"/>
            <w:vAlign w:val="bottom"/>
          </w:tcPr>
          <w:p w14:paraId="393A1018" w14:textId="5C02B33E" w:rsidR="00533C9F" w:rsidRPr="001E4C31" w:rsidRDefault="00C21867" w:rsidP="00C21867">
            <w:pPr>
              <w:keepNext/>
              <w:jc w:val="center"/>
              <w:rPr>
                <w:rFonts w:cs="Arial"/>
                <w:sz w:val="20"/>
                <w:szCs w:val="20"/>
              </w:rPr>
            </w:pPr>
            <w:r>
              <w:rPr>
                <w:rFonts w:cs="Arial"/>
                <w:sz w:val="20"/>
                <w:szCs w:val="20"/>
              </w:rPr>
              <w:t>Varies</w:t>
            </w:r>
          </w:p>
        </w:tc>
        <w:tc>
          <w:tcPr>
            <w:tcW w:w="1736" w:type="dxa"/>
            <w:gridSpan w:val="2"/>
            <w:shd w:val="pct5" w:color="000000" w:fill="FFFFFF"/>
            <w:vAlign w:val="bottom"/>
          </w:tcPr>
          <w:p w14:paraId="393A1019" w14:textId="16F46E64" w:rsidR="00533C9F" w:rsidRPr="001E4C31" w:rsidRDefault="00C21867" w:rsidP="00C21867">
            <w:pPr>
              <w:keepNext/>
              <w:jc w:val="center"/>
              <w:rPr>
                <w:rFonts w:cs="Arial"/>
                <w:sz w:val="20"/>
                <w:szCs w:val="20"/>
              </w:rPr>
            </w:pPr>
            <w:r>
              <w:rPr>
                <w:rFonts w:cs="Arial"/>
                <w:sz w:val="20"/>
                <w:szCs w:val="20"/>
              </w:rPr>
              <w:t>Section 4.3.2</w:t>
            </w:r>
          </w:p>
        </w:tc>
      </w:tr>
      <w:tr w:rsidR="00533C9F" w:rsidRPr="00783DAC" w14:paraId="393A1021" w14:textId="77777777" w:rsidTr="00C21867">
        <w:trPr>
          <w:gridAfter w:val="1"/>
          <w:wAfter w:w="1399" w:type="dxa"/>
        </w:trPr>
        <w:tc>
          <w:tcPr>
            <w:tcW w:w="1772" w:type="dxa"/>
            <w:shd w:val="pct20" w:color="000000" w:fill="FFFFFF"/>
            <w:vAlign w:val="bottom"/>
          </w:tcPr>
          <w:p w14:paraId="393A101B" w14:textId="77777777" w:rsidR="00533C9F" w:rsidRPr="001E4C31" w:rsidRDefault="00533C9F" w:rsidP="00C21867">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14:paraId="393A101C" w14:textId="7DA0E71C" w:rsidR="00533C9F" w:rsidRPr="001E4C31" w:rsidRDefault="004B3AFA" w:rsidP="00C21867">
            <w:pPr>
              <w:keepNext/>
              <w:jc w:val="center"/>
              <w:rPr>
                <w:rFonts w:cs="Arial"/>
                <w:sz w:val="20"/>
                <w:szCs w:val="20"/>
                <w:highlight w:val="yellow"/>
              </w:rPr>
            </w:pPr>
            <w:r>
              <w:rPr>
                <w:rFonts w:cs="Arial"/>
                <w:sz w:val="20"/>
                <w:szCs w:val="20"/>
              </w:rPr>
              <w:t>REA</w:t>
            </w:r>
          </w:p>
        </w:tc>
        <w:tc>
          <w:tcPr>
            <w:tcW w:w="1461" w:type="dxa"/>
            <w:shd w:val="pct20" w:color="000000" w:fill="FFFFFF"/>
            <w:vAlign w:val="bottom"/>
          </w:tcPr>
          <w:p w14:paraId="393A101D" w14:textId="7F881A2F" w:rsidR="00533C9F" w:rsidRPr="001E4C31" w:rsidRDefault="00C21867" w:rsidP="00C21867">
            <w:pPr>
              <w:keepNext/>
              <w:jc w:val="center"/>
              <w:rPr>
                <w:rFonts w:cs="Arial"/>
                <w:sz w:val="20"/>
                <w:szCs w:val="20"/>
              </w:rPr>
            </w:pPr>
            <w:r>
              <w:rPr>
                <w:rFonts w:cs="Arial"/>
                <w:sz w:val="20"/>
                <w:szCs w:val="20"/>
              </w:rPr>
              <w:t>15</w:t>
            </w:r>
          </w:p>
        </w:tc>
        <w:tc>
          <w:tcPr>
            <w:tcW w:w="1473" w:type="dxa"/>
            <w:gridSpan w:val="2"/>
            <w:shd w:val="pct20" w:color="000000" w:fill="FFFFFF"/>
            <w:vAlign w:val="bottom"/>
          </w:tcPr>
          <w:p w14:paraId="393A101F" w14:textId="23617E2E" w:rsidR="00533C9F" w:rsidRPr="001E4C31" w:rsidRDefault="00C21867" w:rsidP="00C21867">
            <w:pPr>
              <w:keepNext/>
              <w:jc w:val="center"/>
              <w:rPr>
                <w:rFonts w:cs="Arial"/>
                <w:sz w:val="20"/>
                <w:szCs w:val="20"/>
              </w:rPr>
            </w:pPr>
            <w:r>
              <w:rPr>
                <w:rFonts w:cs="Arial"/>
                <w:sz w:val="20"/>
                <w:szCs w:val="20"/>
              </w:rPr>
              <w:t>15</w:t>
            </w:r>
          </w:p>
        </w:tc>
        <w:tc>
          <w:tcPr>
            <w:tcW w:w="1736" w:type="dxa"/>
            <w:gridSpan w:val="2"/>
            <w:shd w:val="pct20" w:color="000000" w:fill="FFFFFF"/>
            <w:vAlign w:val="bottom"/>
          </w:tcPr>
          <w:p w14:paraId="393A1020" w14:textId="3A3BA428" w:rsidR="00533C9F" w:rsidRPr="001E4C31" w:rsidRDefault="00C21867" w:rsidP="00C21867">
            <w:pPr>
              <w:keepNext/>
              <w:jc w:val="center"/>
              <w:rPr>
                <w:rFonts w:cs="Arial"/>
                <w:sz w:val="20"/>
                <w:szCs w:val="20"/>
              </w:rPr>
            </w:pPr>
            <w:r>
              <w:rPr>
                <w:rFonts w:cs="Arial"/>
                <w:sz w:val="20"/>
                <w:szCs w:val="20"/>
              </w:rPr>
              <w:t>Section 1.4.1</w:t>
            </w:r>
          </w:p>
        </w:tc>
      </w:tr>
      <w:tr w:rsidR="00533C9F" w:rsidRPr="00783DAC" w14:paraId="393A1028" w14:textId="77777777" w:rsidTr="00C21867">
        <w:trPr>
          <w:gridAfter w:val="1"/>
          <w:wAfter w:w="1399" w:type="dxa"/>
        </w:trPr>
        <w:tc>
          <w:tcPr>
            <w:tcW w:w="1772" w:type="dxa"/>
            <w:shd w:val="pct5" w:color="000000" w:fill="FFFFFF"/>
            <w:vAlign w:val="bottom"/>
          </w:tcPr>
          <w:p w14:paraId="393A1022" w14:textId="77777777" w:rsidR="00533C9F" w:rsidRPr="001E4C31" w:rsidRDefault="00533C9F" w:rsidP="00C21867">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37A95D56" w:rsidR="00533C9F" w:rsidRPr="001E4C31" w:rsidRDefault="00FC59D8" w:rsidP="00C21867">
            <w:pPr>
              <w:keepNext/>
              <w:jc w:val="center"/>
              <w:rPr>
                <w:rFonts w:cs="Arial"/>
                <w:sz w:val="20"/>
                <w:szCs w:val="20"/>
                <w:highlight w:val="yellow"/>
              </w:rPr>
            </w:pPr>
            <w:r>
              <w:rPr>
                <w:rFonts w:cs="Arial"/>
                <w:sz w:val="20"/>
                <w:szCs w:val="20"/>
              </w:rPr>
              <w:t>One</w:t>
            </w:r>
          </w:p>
        </w:tc>
        <w:tc>
          <w:tcPr>
            <w:tcW w:w="1461" w:type="dxa"/>
            <w:shd w:val="pct5" w:color="000000" w:fill="FFFFFF"/>
            <w:vAlign w:val="bottom"/>
          </w:tcPr>
          <w:p w14:paraId="393A1024" w14:textId="7788EC01" w:rsidR="00533C9F" w:rsidRPr="001E4C31" w:rsidRDefault="00FC59D8" w:rsidP="00C21867">
            <w:pPr>
              <w:keepNext/>
              <w:jc w:val="center"/>
              <w:rPr>
                <w:rFonts w:cs="Arial"/>
                <w:sz w:val="20"/>
                <w:szCs w:val="20"/>
              </w:rPr>
            </w:pPr>
            <w:r>
              <w:rPr>
                <w:rFonts w:cs="Arial"/>
                <w:sz w:val="20"/>
                <w:szCs w:val="20"/>
              </w:rPr>
              <w:t>-</w:t>
            </w:r>
          </w:p>
        </w:tc>
        <w:tc>
          <w:tcPr>
            <w:tcW w:w="1473" w:type="dxa"/>
            <w:gridSpan w:val="2"/>
            <w:shd w:val="pct5" w:color="000000" w:fill="FFFFFF"/>
            <w:vAlign w:val="bottom"/>
          </w:tcPr>
          <w:p w14:paraId="393A1026" w14:textId="598E3A7D" w:rsidR="00533C9F" w:rsidRPr="001E4C31" w:rsidRDefault="00FC59D8" w:rsidP="00C21867">
            <w:pPr>
              <w:keepNext/>
              <w:jc w:val="center"/>
              <w:rPr>
                <w:rFonts w:cs="Arial"/>
                <w:sz w:val="20"/>
                <w:szCs w:val="20"/>
              </w:rPr>
            </w:pPr>
            <w:r>
              <w:rPr>
                <w:rFonts w:cs="Arial"/>
                <w:sz w:val="20"/>
                <w:szCs w:val="20"/>
              </w:rPr>
              <w:t>0.60</w:t>
            </w:r>
          </w:p>
        </w:tc>
        <w:tc>
          <w:tcPr>
            <w:tcW w:w="1736" w:type="dxa"/>
            <w:gridSpan w:val="2"/>
            <w:shd w:val="pct5" w:color="000000" w:fill="FFFFFF"/>
            <w:vAlign w:val="bottom"/>
          </w:tcPr>
          <w:p w14:paraId="393A1027" w14:textId="1D15645B" w:rsidR="00533C9F" w:rsidRPr="001E4C31" w:rsidRDefault="00C21867" w:rsidP="00C21867">
            <w:pPr>
              <w:keepNext/>
              <w:jc w:val="center"/>
              <w:rPr>
                <w:rFonts w:cs="Arial"/>
                <w:sz w:val="20"/>
                <w:szCs w:val="20"/>
              </w:rPr>
            </w:pPr>
            <w:r>
              <w:rPr>
                <w:rFonts w:cs="Arial"/>
                <w:sz w:val="20"/>
                <w:szCs w:val="20"/>
              </w:rPr>
              <w:t>Section 1.4.1</w:t>
            </w:r>
          </w:p>
        </w:tc>
      </w:tr>
      <w:tr w:rsidR="00533C9F" w:rsidRPr="00783DAC" w14:paraId="393A102F" w14:textId="77777777" w:rsidTr="00C21867">
        <w:trPr>
          <w:gridAfter w:val="1"/>
          <w:wAfter w:w="1399" w:type="dxa"/>
        </w:trPr>
        <w:tc>
          <w:tcPr>
            <w:tcW w:w="1772" w:type="dxa"/>
            <w:shd w:val="pct20" w:color="000000" w:fill="FFFFFF"/>
            <w:vAlign w:val="bottom"/>
          </w:tcPr>
          <w:p w14:paraId="393A1029" w14:textId="77777777" w:rsidR="00533C9F" w:rsidRPr="001E4C31" w:rsidRDefault="00533C9F" w:rsidP="00C21867">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1B1B842A" w:rsidR="00533C9F" w:rsidRPr="001E4C31" w:rsidRDefault="00533C9F" w:rsidP="00C21867">
            <w:pPr>
              <w:keepNext/>
              <w:jc w:val="center"/>
              <w:rPr>
                <w:rFonts w:cs="Arial"/>
                <w:sz w:val="20"/>
                <w:szCs w:val="20"/>
                <w:highlight w:val="yellow"/>
              </w:rPr>
            </w:pPr>
            <w:r w:rsidRPr="00DB133A">
              <w:rPr>
                <w:rFonts w:cs="Arial"/>
                <w:sz w:val="20"/>
                <w:szCs w:val="20"/>
              </w:rPr>
              <w:t xml:space="preserve">Applies -- </w:t>
            </w:r>
            <w:r w:rsidR="00C21867">
              <w:rPr>
                <w:rFonts w:cs="Arial"/>
                <w:sz w:val="20"/>
                <w:szCs w:val="20"/>
              </w:rPr>
              <w:t>No</w:t>
            </w:r>
          </w:p>
        </w:tc>
        <w:tc>
          <w:tcPr>
            <w:tcW w:w="1461" w:type="dxa"/>
            <w:shd w:val="pct20" w:color="000000" w:fill="FFFFFF"/>
            <w:vAlign w:val="bottom"/>
          </w:tcPr>
          <w:p w14:paraId="393A102B" w14:textId="5B91FCC6" w:rsidR="00533C9F" w:rsidRPr="001E4C31" w:rsidRDefault="00C21867" w:rsidP="00C21867">
            <w:pPr>
              <w:keepNext/>
              <w:jc w:val="center"/>
              <w:rPr>
                <w:rFonts w:cs="Arial"/>
                <w:sz w:val="20"/>
                <w:szCs w:val="20"/>
              </w:rPr>
            </w:pPr>
            <w:r>
              <w:rPr>
                <w:rFonts w:cs="Arial"/>
                <w:sz w:val="20"/>
                <w:szCs w:val="20"/>
              </w:rPr>
              <w:t>N/A</w:t>
            </w:r>
          </w:p>
        </w:tc>
        <w:tc>
          <w:tcPr>
            <w:tcW w:w="1473" w:type="dxa"/>
            <w:gridSpan w:val="2"/>
            <w:shd w:val="pct20" w:color="000000" w:fill="FFFFFF"/>
            <w:vAlign w:val="bottom"/>
          </w:tcPr>
          <w:p w14:paraId="393A102D" w14:textId="7AA67CFE" w:rsidR="00533C9F" w:rsidRPr="001E4C31" w:rsidRDefault="00C21867" w:rsidP="00C21867">
            <w:pPr>
              <w:keepNext/>
              <w:jc w:val="center"/>
              <w:rPr>
                <w:rFonts w:cs="Arial"/>
                <w:sz w:val="20"/>
                <w:szCs w:val="20"/>
              </w:rPr>
            </w:pPr>
            <w:r>
              <w:rPr>
                <w:rFonts w:cs="Arial"/>
                <w:sz w:val="20"/>
                <w:szCs w:val="20"/>
              </w:rPr>
              <w:t>N/A</w:t>
            </w:r>
          </w:p>
        </w:tc>
        <w:tc>
          <w:tcPr>
            <w:tcW w:w="1736" w:type="dxa"/>
            <w:gridSpan w:val="2"/>
            <w:shd w:val="pct20" w:color="000000" w:fill="FFFFFF"/>
            <w:vAlign w:val="bottom"/>
          </w:tcPr>
          <w:p w14:paraId="393A102E" w14:textId="5A972D56" w:rsidR="00533C9F" w:rsidRPr="001E4C31" w:rsidRDefault="00C21867" w:rsidP="00C21867">
            <w:pPr>
              <w:keepNext/>
              <w:jc w:val="center"/>
              <w:rPr>
                <w:rFonts w:cs="Arial"/>
                <w:sz w:val="20"/>
                <w:szCs w:val="20"/>
              </w:rPr>
            </w:pPr>
            <w:r>
              <w:rPr>
                <w:rFonts w:cs="Arial"/>
                <w:sz w:val="20"/>
                <w:szCs w:val="20"/>
              </w:rPr>
              <w:t>N/A</w:t>
            </w:r>
          </w:p>
        </w:tc>
      </w:tr>
      <w:tr w:rsidR="009B1863" w:rsidRPr="00783DAC" w14:paraId="393A1036" w14:textId="77777777" w:rsidTr="00C21867">
        <w:tc>
          <w:tcPr>
            <w:tcW w:w="1772" w:type="dxa"/>
            <w:shd w:val="pct5" w:color="000000" w:fill="FFFFFF"/>
            <w:vAlign w:val="bottom"/>
          </w:tcPr>
          <w:p w14:paraId="393A1030" w14:textId="77777777" w:rsidR="00836F9B" w:rsidRPr="001E4C31" w:rsidRDefault="00836F9B" w:rsidP="00C21867">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836F9B" w:rsidRPr="001E4C31" w:rsidRDefault="00836F9B" w:rsidP="00C21867">
            <w:pPr>
              <w:jc w:val="center"/>
              <w:rPr>
                <w:rFonts w:cs="Arial"/>
                <w:i/>
                <w:sz w:val="20"/>
                <w:szCs w:val="20"/>
                <w:highlight w:val="yellow"/>
              </w:rPr>
            </w:pPr>
            <w:r w:rsidRPr="00DB133A">
              <w:rPr>
                <w:rFonts w:cs="Arial"/>
                <w:i/>
                <w:sz w:val="20"/>
                <w:szCs w:val="20"/>
              </w:rPr>
              <w:t>A/C projects only</w:t>
            </w:r>
          </w:p>
        </w:tc>
        <w:tc>
          <w:tcPr>
            <w:tcW w:w="1461" w:type="dxa"/>
            <w:shd w:val="pct5" w:color="000000" w:fill="FFFFFF"/>
            <w:vAlign w:val="bottom"/>
          </w:tcPr>
          <w:p w14:paraId="393A1032" w14:textId="7F4F7717" w:rsidR="00836F9B" w:rsidRPr="00DB133A" w:rsidRDefault="00DB133A" w:rsidP="00C21867">
            <w:pPr>
              <w:jc w:val="center"/>
              <w:rPr>
                <w:rFonts w:cs="Arial"/>
                <w:sz w:val="20"/>
                <w:szCs w:val="20"/>
              </w:rPr>
            </w:pPr>
            <w:r w:rsidRPr="00DB133A">
              <w:rPr>
                <w:rFonts w:cs="Arial"/>
                <w:sz w:val="20"/>
                <w:szCs w:val="20"/>
              </w:rPr>
              <w:t>N/A</w:t>
            </w:r>
          </w:p>
        </w:tc>
        <w:tc>
          <w:tcPr>
            <w:tcW w:w="1399" w:type="dxa"/>
            <w:shd w:val="pct5" w:color="000000" w:fill="FFFFFF"/>
            <w:vAlign w:val="bottom"/>
          </w:tcPr>
          <w:p w14:paraId="393A1033" w14:textId="6D832108" w:rsidR="00836F9B" w:rsidRPr="00DB133A" w:rsidRDefault="00C21867" w:rsidP="00C21867">
            <w:pPr>
              <w:jc w:val="center"/>
              <w:rPr>
                <w:rFonts w:cs="Arial"/>
                <w:sz w:val="20"/>
                <w:szCs w:val="20"/>
              </w:rPr>
            </w:pPr>
            <w:r>
              <w:rPr>
                <w:rFonts w:cs="Arial"/>
                <w:sz w:val="20"/>
                <w:szCs w:val="20"/>
              </w:rPr>
              <w:t xml:space="preserve">  </w:t>
            </w:r>
            <w:r w:rsidR="00DB133A" w:rsidRPr="00DB133A">
              <w:rPr>
                <w:rFonts w:cs="Arial"/>
                <w:sz w:val="20"/>
                <w:szCs w:val="20"/>
              </w:rPr>
              <w:t>N/A</w:t>
            </w:r>
          </w:p>
        </w:tc>
        <w:tc>
          <w:tcPr>
            <w:tcW w:w="1473" w:type="dxa"/>
            <w:gridSpan w:val="2"/>
            <w:shd w:val="pct5" w:color="000000" w:fill="FFFFFF"/>
            <w:vAlign w:val="bottom"/>
          </w:tcPr>
          <w:p w14:paraId="393A1034" w14:textId="15CA70A6" w:rsidR="00836F9B" w:rsidRPr="00C21867" w:rsidRDefault="00C21867" w:rsidP="00C21867">
            <w:pPr>
              <w:jc w:val="center"/>
              <w:rPr>
                <w:rFonts w:cs="Arial"/>
                <w:sz w:val="20"/>
                <w:szCs w:val="20"/>
              </w:rPr>
            </w:pPr>
            <w:r>
              <w:rPr>
                <w:rFonts w:cs="Arial"/>
                <w:sz w:val="20"/>
                <w:szCs w:val="20"/>
              </w:rPr>
              <w:t xml:space="preserve">      </w:t>
            </w:r>
            <w:r w:rsidRPr="00C21867">
              <w:rPr>
                <w:rFonts w:cs="Arial"/>
                <w:sz w:val="20"/>
                <w:szCs w:val="20"/>
              </w:rPr>
              <w:t>N/A</w:t>
            </w:r>
          </w:p>
        </w:tc>
        <w:tc>
          <w:tcPr>
            <w:tcW w:w="1736" w:type="dxa"/>
            <w:gridSpan w:val="2"/>
            <w:shd w:val="pct5" w:color="000000" w:fill="FFFFFF"/>
            <w:vAlign w:val="bottom"/>
          </w:tcPr>
          <w:p w14:paraId="393A1035" w14:textId="47C055DE" w:rsidR="00836F9B" w:rsidRPr="001E4C31" w:rsidRDefault="00836F9B" w:rsidP="00C21867">
            <w:pPr>
              <w:jc w:val="center"/>
              <w:rPr>
                <w:rFonts w:cs="Arial"/>
                <w:i/>
                <w:sz w:val="20"/>
                <w:szCs w:val="20"/>
              </w:rPr>
            </w:pPr>
          </w:p>
        </w:tc>
      </w:tr>
    </w:tbl>
    <w:p w14:paraId="3F25A2A6" w14:textId="77777777" w:rsidR="00073A54" w:rsidRDefault="00C21867" w:rsidP="00C41E61">
      <w:pPr>
        <w:pStyle w:val="Heading1"/>
      </w:pPr>
      <w:r>
        <w:rPr>
          <w:sz w:val="20"/>
          <w:szCs w:val="20"/>
        </w:rPr>
        <w:br w:type="textWrapping" w:clear="all"/>
      </w:r>
      <w:bookmarkStart w:id="80" w:name="_Toc304800210"/>
      <w:bookmarkStart w:id="81" w:name="_Toc324340489"/>
      <w:bookmarkStart w:id="82" w:name="_Toc386699722"/>
    </w:p>
    <w:p w14:paraId="49AF01F6" w14:textId="77777777" w:rsidR="00073A54" w:rsidRDefault="00073A54">
      <w:pPr>
        <w:rPr>
          <w:rFonts w:cs="Arial"/>
          <w:b/>
          <w:bCs/>
          <w:kern w:val="32"/>
          <w:sz w:val="32"/>
          <w:szCs w:val="32"/>
        </w:rPr>
      </w:pPr>
      <w:r>
        <w:br w:type="page"/>
      </w:r>
    </w:p>
    <w:p w14:paraId="393A1037" w14:textId="21DD811D" w:rsidR="00C069A2" w:rsidRDefault="00CF3FF0" w:rsidP="00C41E61">
      <w:pPr>
        <w:pStyle w:val="Heading1"/>
      </w:pPr>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80"/>
      <w:bookmarkEnd w:id="81"/>
      <w:bookmarkEnd w:id="82"/>
    </w:p>
    <w:p w14:paraId="67C177A0" w14:textId="07A54F06" w:rsidR="00C13301" w:rsidRDefault="00ED7D3D" w:rsidP="004B3AFA">
      <w:pPr>
        <w:pStyle w:val="Caption"/>
        <w:jc w:val="center"/>
      </w:pPr>
      <w:bookmarkStart w:id="83" w:name="_Toc386010919"/>
      <w:r>
        <w:t xml:space="preserve">Table </w:t>
      </w:r>
      <w:r w:rsidR="0004019F">
        <w:fldChar w:fldCharType="begin"/>
      </w:r>
      <w:r w:rsidR="0004019F">
        <w:instrText xml:space="preserve"> SEQ Table \* ARABIC </w:instrText>
      </w:r>
      <w:r w:rsidR="0004019F">
        <w:fldChar w:fldCharType="separate"/>
      </w:r>
      <w:r>
        <w:rPr>
          <w:noProof/>
        </w:rPr>
        <w:t>7</w:t>
      </w:r>
      <w:r w:rsidR="0004019F">
        <w:rPr>
          <w:noProof/>
        </w:rPr>
        <w:fldChar w:fldCharType="end"/>
      </w:r>
      <w:r w:rsidR="0007589E">
        <w:t xml:space="preserve"> Baseline </w:t>
      </w:r>
      <w:r>
        <w:t>by Measure Application Type</w:t>
      </w:r>
      <w:bookmarkStart w:id="84" w:name="_Toc304800211"/>
      <w:bookmarkStart w:id="85" w:name="_Toc324318365"/>
      <w:bookmarkStart w:id="86" w:name="_Toc324340494"/>
      <w:bookmarkEnd w:id="83"/>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4B3AFA" w:rsidRPr="001E4C31" w14:paraId="328FE9BA" w14:textId="77777777" w:rsidTr="00073A54">
        <w:trPr>
          <w:trHeight w:val="927"/>
        </w:trPr>
        <w:tc>
          <w:tcPr>
            <w:tcW w:w="2808" w:type="dxa"/>
            <w:shd w:val="clear" w:color="auto" w:fill="262626"/>
            <w:vAlign w:val="bottom"/>
          </w:tcPr>
          <w:p w14:paraId="240143D4" w14:textId="77777777" w:rsidR="004B3AFA" w:rsidRPr="001E4C31" w:rsidRDefault="004B3AFA" w:rsidP="00073A54">
            <w:pPr>
              <w:pStyle w:val="Heading2"/>
              <w:keepLines/>
              <w:jc w:val="center"/>
              <w:rPr>
                <w:rStyle w:val="Strong"/>
                <w:b/>
                <w:bCs/>
                <w:i w:val="0"/>
                <w:color w:val="F2F2F2"/>
              </w:rPr>
            </w:pPr>
            <w:bookmarkStart w:id="87" w:name="_Toc324340490"/>
            <w:bookmarkStart w:id="88" w:name="_Toc383441995"/>
            <w:r>
              <w:rPr>
                <w:rStyle w:val="Strong"/>
                <w:b/>
                <w:bCs/>
                <w:i w:val="0"/>
                <w:color w:val="F2F2F2"/>
              </w:rPr>
              <w:t xml:space="preserve">Measure Application </w:t>
            </w:r>
            <w:r w:rsidRPr="001E4C31">
              <w:rPr>
                <w:rStyle w:val="Strong"/>
                <w:b/>
                <w:bCs/>
                <w:i w:val="0"/>
                <w:color w:val="F2F2F2"/>
              </w:rPr>
              <w:t>Type</w:t>
            </w:r>
            <w:bookmarkEnd w:id="87"/>
            <w:bookmarkEnd w:id="88"/>
          </w:p>
        </w:tc>
        <w:tc>
          <w:tcPr>
            <w:tcW w:w="1710" w:type="dxa"/>
            <w:shd w:val="clear" w:color="auto" w:fill="262626"/>
            <w:vAlign w:val="bottom"/>
          </w:tcPr>
          <w:p w14:paraId="5F93E179" w14:textId="77777777" w:rsidR="004B3AFA" w:rsidRPr="001E4C31" w:rsidRDefault="004B3AFA" w:rsidP="00073A54">
            <w:pPr>
              <w:pStyle w:val="Heading2"/>
              <w:keepLines/>
              <w:jc w:val="center"/>
              <w:rPr>
                <w:rStyle w:val="Strong"/>
                <w:b/>
                <w:bCs/>
                <w:i w:val="0"/>
                <w:color w:val="F2F2F2"/>
              </w:rPr>
            </w:pPr>
            <w:bookmarkStart w:id="89" w:name="_Toc324340491"/>
            <w:bookmarkStart w:id="90" w:name="_Toc383441996"/>
            <w:r w:rsidRPr="001E4C31">
              <w:rPr>
                <w:rStyle w:val="Strong"/>
                <w:b/>
                <w:bCs/>
                <w:i w:val="0"/>
                <w:color w:val="F2F2F2"/>
              </w:rPr>
              <w:t>Measure Life Basis</w:t>
            </w:r>
            <w:bookmarkEnd w:id="89"/>
            <w:bookmarkEnd w:id="90"/>
          </w:p>
        </w:tc>
        <w:tc>
          <w:tcPr>
            <w:tcW w:w="2790" w:type="dxa"/>
            <w:shd w:val="clear" w:color="auto" w:fill="262626"/>
            <w:vAlign w:val="bottom"/>
          </w:tcPr>
          <w:p w14:paraId="473DC768" w14:textId="77777777" w:rsidR="004B3AFA" w:rsidRPr="001E4C31" w:rsidRDefault="004B3AFA" w:rsidP="00073A54">
            <w:pPr>
              <w:pStyle w:val="Heading2"/>
              <w:keepLines/>
              <w:jc w:val="center"/>
              <w:rPr>
                <w:rStyle w:val="Strong"/>
                <w:b/>
                <w:bCs/>
                <w:i w:val="0"/>
                <w:color w:val="F2F2F2"/>
              </w:rPr>
            </w:pPr>
            <w:bookmarkStart w:id="91" w:name="_Toc324340492"/>
            <w:bookmarkStart w:id="92" w:name="_Toc383441997"/>
            <w:r w:rsidRPr="001E4C31">
              <w:rPr>
                <w:rStyle w:val="Strong"/>
                <w:b/>
                <w:bCs/>
                <w:i w:val="0"/>
                <w:color w:val="F2F2F2"/>
              </w:rPr>
              <w:t>First Baseline Period: Energy Savings Baseline</w:t>
            </w:r>
            <w:bookmarkEnd w:id="91"/>
            <w:bookmarkEnd w:id="92"/>
          </w:p>
        </w:tc>
        <w:tc>
          <w:tcPr>
            <w:tcW w:w="2268" w:type="dxa"/>
            <w:shd w:val="clear" w:color="auto" w:fill="262626"/>
            <w:vAlign w:val="bottom"/>
          </w:tcPr>
          <w:p w14:paraId="2817C291" w14:textId="77777777" w:rsidR="004B3AFA" w:rsidRPr="001E4C31" w:rsidRDefault="004B3AFA" w:rsidP="00073A54">
            <w:pPr>
              <w:pStyle w:val="Heading2"/>
              <w:keepLines/>
              <w:jc w:val="center"/>
              <w:rPr>
                <w:rStyle w:val="Strong"/>
                <w:b/>
                <w:bCs/>
                <w:i w:val="0"/>
                <w:color w:val="F2F2F2"/>
              </w:rPr>
            </w:pPr>
            <w:bookmarkStart w:id="93" w:name="_Toc324340493"/>
            <w:bookmarkStart w:id="94" w:name="_Toc383441998"/>
            <w:r w:rsidRPr="001E4C31">
              <w:rPr>
                <w:rStyle w:val="Strong"/>
                <w:b/>
                <w:bCs/>
                <w:i w:val="0"/>
                <w:color w:val="F2F2F2"/>
              </w:rPr>
              <w:t>Second Baseline Period: Energy Savings Baseline</w:t>
            </w:r>
            <w:bookmarkEnd w:id="93"/>
            <w:bookmarkEnd w:id="94"/>
          </w:p>
        </w:tc>
      </w:tr>
      <w:tr w:rsidR="004B3AFA" w:rsidRPr="00C41E61" w14:paraId="7CF80224" w14:textId="77777777" w:rsidTr="00073A54">
        <w:tc>
          <w:tcPr>
            <w:tcW w:w="2808" w:type="dxa"/>
            <w:shd w:val="pct5" w:color="000000" w:fill="FFFFFF"/>
            <w:vAlign w:val="bottom"/>
          </w:tcPr>
          <w:p w14:paraId="56064F1F" w14:textId="77777777" w:rsidR="004B3AFA" w:rsidRPr="001E4C31" w:rsidRDefault="004B3AFA" w:rsidP="00073A54">
            <w:pPr>
              <w:spacing w:before="120" w:after="120"/>
              <w:jc w:val="center"/>
              <w:rPr>
                <w:rStyle w:val="Strong"/>
                <w:b w:val="0"/>
              </w:rPr>
            </w:pPr>
            <w:bookmarkStart w:id="95" w:name="_Toc324318349"/>
            <w:r>
              <w:rPr>
                <w:rStyle w:val="Strong"/>
                <w:i/>
              </w:rPr>
              <w:t>ER</w:t>
            </w:r>
            <w:r w:rsidRPr="001E4C31">
              <w:rPr>
                <w:rStyle w:val="Strong"/>
                <w:b w:val="0"/>
              </w:rPr>
              <w:t xml:space="preserve"> (</w:t>
            </w:r>
            <w:r>
              <w:rPr>
                <w:rStyle w:val="Strong"/>
                <w:b w:val="0"/>
              </w:rPr>
              <w:t>early retirement</w:t>
            </w:r>
            <w:r w:rsidRPr="001E4C31">
              <w:rPr>
                <w:rStyle w:val="Strong"/>
                <w:b w:val="0"/>
              </w:rPr>
              <w:t>)</w:t>
            </w:r>
            <w:bookmarkEnd w:id="95"/>
          </w:p>
        </w:tc>
        <w:tc>
          <w:tcPr>
            <w:tcW w:w="1710" w:type="dxa"/>
            <w:shd w:val="pct5" w:color="000000" w:fill="FFFFFF"/>
            <w:vAlign w:val="bottom"/>
          </w:tcPr>
          <w:p w14:paraId="4B164E33" w14:textId="77777777" w:rsidR="004B3AFA" w:rsidRPr="001E4C31" w:rsidRDefault="004B3AFA" w:rsidP="00073A54">
            <w:pPr>
              <w:spacing w:before="120" w:after="120"/>
              <w:jc w:val="center"/>
              <w:rPr>
                <w:rStyle w:val="Strong"/>
                <w:b w:val="0"/>
              </w:rPr>
            </w:pPr>
            <w:bookmarkStart w:id="96" w:name="_Toc324318350"/>
            <w:r w:rsidRPr="001E4C31">
              <w:rPr>
                <w:rStyle w:val="Strong"/>
                <w:b w:val="0"/>
              </w:rPr>
              <w:t>EUL</w:t>
            </w:r>
            <w:bookmarkEnd w:id="96"/>
          </w:p>
        </w:tc>
        <w:tc>
          <w:tcPr>
            <w:tcW w:w="2790" w:type="dxa"/>
            <w:shd w:val="pct5" w:color="000000" w:fill="FFFFFF"/>
            <w:vAlign w:val="bottom"/>
          </w:tcPr>
          <w:p w14:paraId="31C2D09F" w14:textId="77777777" w:rsidR="004B3AFA" w:rsidRPr="001E4C31" w:rsidRDefault="004B3AFA" w:rsidP="00073A54">
            <w:pPr>
              <w:spacing w:before="120" w:after="120"/>
              <w:jc w:val="center"/>
              <w:rPr>
                <w:sz w:val="20"/>
                <w:szCs w:val="20"/>
              </w:rPr>
            </w:pPr>
            <w:r>
              <w:rPr>
                <w:sz w:val="20"/>
                <w:szCs w:val="20"/>
              </w:rPr>
              <w:t>Customer Average Baseline</w:t>
            </w:r>
          </w:p>
        </w:tc>
        <w:tc>
          <w:tcPr>
            <w:tcW w:w="2268" w:type="dxa"/>
            <w:shd w:val="pct5" w:color="000000" w:fill="FFFFFF"/>
            <w:vAlign w:val="bottom"/>
          </w:tcPr>
          <w:p w14:paraId="19CA324A" w14:textId="77777777" w:rsidR="004B3AFA" w:rsidRPr="001E4C31" w:rsidRDefault="004B3AFA" w:rsidP="00073A54">
            <w:pPr>
              <w:spacing w:before="120" w:after="120"/>
              <w:jc w:val="center"/>
              <w:rPr>
                <w:sz w:val="20"/>
                <w:szCs w:val="20"/>
              </w:rPr>
            </w:pPr>
            <w:r>
              <w:rPr>
                <w:sz w:val="20"/>
                <w:szCs w:val="20"/>
              </w:rPr>
              <w:t>Code Baseline</w:t>
            </w:r>
          </w:p>
        </w:tc>
      </w:tr>
      <w:tr w:rsidR="004B3AFA" w:rsidRPr="00C41E61" w14:paraId="28FD755E" w14:textId="77777777" w:rsidTr="00073A54">
        <w:tc>
          <w:tcPr>
            <w:tcW w:w="2808" w:type="dxa"/>
            <w:shd w:val="pct20" w:color="000000" w:fill="FFFFFF"/>
            <w:vAlign w:val="bottom"/>
          </w:tcPr>
          <w:p w14:paraId="5177274C" w14:textId="77777777" w:rsidR="004B3AFA" w:rsidRPr="001E4C31" w:rsidRDefault="004B3AFA" w:rsidP="00073A54">
            <w:pPr>
              <w:spacing w:before="120" w:after="120"/>
              <w:jc w:val="center"/>
              <w:rPr>
                <w:rStyle w:val="Strong"/>
                <w:b w:val="0"/>
              </w:rPr>
            </w:pPr>
            <w:bookmarkStart w:id="97" w:name="_Toc324318353"/>
            <w:r w:rsidRPr="001E4C31">
              <w:rPr>
                <w:rStyle w:val="Strong"/>
                <w:i/>
              </w:rPr>
              <w:t>ROB</w:t>
            </w:r>
            <w:r w:rsidRPr="001E4C31">
              <w:rPr>
                <w:rStyle w:val="Strong"/>
                <w:b w:val="0"/>
              </w:rPr>
              <w:t xml:space="preserve"> (replace-on-burnout)</w:t>
            </w:r>
            <w:bookmarkEnd w:id="97"/>
          </w:p>
        </w:tc>
        <w:tc>
          <w:tcPr>
            <w:tcW w:w="1710" w:type="dxa"/>
            <w:shd w:val="pct20" w:color="000000" w:fill="FFFFFF"/>
            <w:vAlign w:val="bottom"/>
          </w:tcPr>
          <w:p w14:paraId="632B7123" w14:textId="77777777" w:rsidR="004B3AFA" w:rsidRPr="001E4C31" w:rsidRDefault="004B3AFA" w:rsidP="00073A54">
            <w:pPr>
              <w:spacing w:before="120" w:after="120"/>
              <w:jc w:val="center"/>
              <w:rPr>
                <w:rStyle w:val="Strong"/>
                <w:b w:val="0"/>
              </w:rPr>
            </w:pPr>
            <w:bookmarkStart w:id="98" w:name="_Toc324318354"/>
            <w:r w:rsidRPr="001E4C31">
              <w:rPr>
                <w:rStyle w:val="Strong"/>
                <w:b w:val="0"/>
              </w:rPr>
              <w:t>EUL</w:t>
            </w:r>
            <w:bookmarkEnd w:id="98"/>
          </w:p>
        </w:tc>
        <w:tc>
          <w:tcPr>
            <w:tcW w:w="2790" w:type="dxa"/>
            <w:shd w:val="pct20" w:color="000000" w:fill="FFFFFF"/>
            <w:vAlign w:val="bottom"/>
          </w:tcPr>
          <w:p w14:paraId="14A04673" w14:textId="77777777" w:rsidR="004B3AFA" w:rsidRPr="001E4C31" w:rsidRDefault="004B3AFA" w:rsidP="00073A54">
            <w:pPr>
              <w:spacing w:before="120" w:after="120"/>
              <w:jc w:val="center"/>
              <w:rPr>
                <w:sz w:val="20"/>
                <w:szCs w:val="20"/>
              </w:rPr>
            </w:pPr>
            <w:bookmarkStart w:id="99" w:name="_Toc324318355"/>
            <w:r w:rsidRPr="001E4C31">
              <w:rPr>
                <w:sz w:val="20"/>
                <w:szCs w:val="20"/>
              </w:rPr>
              <w:t>Code Baseline</w:t>
            </w:r>
            <w:bookmarkEnd w:id="99"/>
          </w:p>
        </w:tc>
        <w:tc>
          <w:tcPr>
            <w:tcW w:w="2268" w:type="dxa"/>
            <w:shd w:val="pct20" w:color="000000" w:fill="FFFFFF"/>
            <w:vAlign w:val="bottom"/>
          </w:tcPr>
          <w:p w14:paraId="63BB717B" w14:textId="77777777" w:rsidR="004B3AFA" w:rsidRPr="001E4C31" w:rsidRDefault="004B3AFA" w:rsidP="00073A54">
            <w:pPr>
              <w:spacing w:before="120" w:after="120"/>
              <w:jc w:val="center"/>
              <w:rPr>
                <w:sz w:val="20"/>
                <w:szCs w:val="20"/>
              </w:rPr>
            </w:pPr>
            <w:bookmarkStart w:id="100" w:name="_Toc324318356"/>
            <w:r w:rsidRPr="001E4C31">
              <w:rPr>
                <w:sz w:val="20"/>
                <w:szCs w:val="20"/>
              </w:rPr>
              <w:t>N/A</w:t>
            </w:r>
            <w:bookmarkEnd w:id="100"/>
          </w:p>
        </w:tc>
      </w:tr>
      <w:tr w:rsidR="004B3AFA" w:rsidRPr="00C41E61" w14:paraId="338B9D4C" w14:textId="77777777" w:rsidTr="00073A54">
        <w:tc>
          <w:tcPr>
            <w:tcW w:w="2808" w:type="dxa"/>
            <w:shd w:val="pct5" w:color="000000" w:fill="FFFFFF"/>
            <w:vAlign w:val="bottom"/>
          </w:tcPr>
          <w:p w14:paraId="1E8C7064" w14:textId="77777777" w:rsidR="004B3AFA" w:rsidRPr="001E4C31" w:rsidRDefault="004B3AFA" w:rsidP="00073A54">
            <w:pPr>
              <w:spacing w:before="120" w:after="120"/>
              <w:jc w:val="center"/>
              <w:rPr>
                <w:rStyle w:val="Strong"/>
                <w:b w:val="0"/>
              </w:rPr>
            </w:pPr>
            <w:bookmarkStart w:id="101" w:name="_Toc324318357"/>
            <w:r>
              <w:rPr>
                <w:rStyle w:val="Strong"/>
                <w:i/>
              </w:rPr>
              <w:t>NC</w:t>
            </w:r>
            <w:r w:rsidRPr="001E4C31">
              <w:rPr>
                <w:rStyle w:val="Strong"/>
                <w:b w:val="0"/>
              </w:rPr>
              <w:t xml:space="preserve"> (</w:t>
            </w:r>
            <w:r w:rsidRPr="00ED7D3D">
              <w:rPr>
                <w:rStyle w:val="Strong"/>
                <w:b w:val="0"/>
              </w:rPr>
              <w:t>new</w:t>
            </w:r>
            <w:r>
              <w:rPr>
                <w:rStyle w:val="Strong"/>
                <w:b w:val="0"/>
              </w:rPr>
              <w:t xml:space="preserve"> construction</w:t>
            </w:r>
            <w:r w:rsidRPr="001E4C31">
              <w:rPr>
                <w:rStyle w:val="Strong"/>
                <w:b w:val="0"/>
              </w:rPr>
              <w:t>)</w:t>
            </w:r>
            <w:bookmarkEnd w:id="101"/>
          </w:p>
        </w:tc>
        <w:tc>
          <w:tcPr>
            <w:tcW w:w="1710" w:type="dxa"/>
            <w:shd w:val="pct5" w:color="000000" w:fill="FFFFFF"/>
            <w:vAlign w:val="bottom"/>
          </w:tcPr>
          <w:p w14:paraId="0CC06C9F" w14:textId="77777777" w:rsidR="004B3AFA" w:rsidRPr="001E4C31" w:rsidRDefault="004B3AFA" w:rsidP="00073A54">
            <w:pPr>
              <w:spacing w:before="120" w:after="120"/>
              <w:jc w:val="center"/>
              <w:rPr>
                <w:rStyle w:val="Strong"/>
                <w:b w:val="0"/>
              </w:rPr>
            </w:pPr>
            <w:bookmarkStart w:id="102" w:name="_Toc324318358"/>
            <w:r w:rsidRPr="001E4C31">
              <w:rPr>
                <w:rStyle w:val="Strong"/>
                <w:b w:val="0"/>
              </w:rPr>
              <w:t>RUL/EUL-RUL</w:t>
            </w:r>
            <w:bookmarkEnd w:id="102"/>
          </w:p>
        </w:tc>
        <w:tc>
          <w:tcPr>
            <w:tcW w:w="2790" w:type="dxa"/>
            <w:shd w:val="pct5" w:color="000000" w:fill="FFFFFF"/>
            <w:vAlign w:val="bottom"/>
          </w:tcPr>
          <w:p w14:paraId="4D13BD65" w14:textId="77777777" w:rsidR="004B3AFA" w:rsidRPr="001E4C31" w:rsidRDefault="004B3AFA" w:rsidP="00073A54">
            <w:pPr>
              <w:spacing w:before="120" w:after="120"/>
              <w:jc w:val="center"/>
              <w:rPr>
                <w:sz w:val="20"/>
                <w:szCs w:val="20"/>
              </w:rPr>
            </w:pPr>
            <w:bookmarkStart w:id="103" w:name="_Toc324318359"/>
            <w:r>
              <w:rPr>
                <w:sz w:val="20"/>
                <w:szCs w:val="20"/>
              </w:rPr>
              <w:t>Code</w:t>
            </w:r>
            <w:r w:rsidRPr="001E4C31">
              <w:rPr>
                <w:sz w:val="20"/>
                <w:szCs w:val="20"/>
              </w:rPr>
              <w:t xml:space="preserve"> Baseline</w:t>
            </w:r>
            <w:bookmarkEnd w:id="103"/>
          </w:p>
        </w:tc>
        <w:tc>
          <w:tcPr>
            <w:tcW w:w="2268" w:type="dxa"/>
            <w:shd w:val="pct5" w:color="000000" w:fill="FFFFFF"/>
            <w:vAlign w:val="bottom"/>
          </w:tcPr>
          <w:p w14:paraId="095596EC" w14:textId="77777777" w:rsidR="004B3AFA" w:rsidRPr="001E4C31" w:rsidRDefault="004B3AFA" w:rsidP="00073A54">
            <w:pPr>
              <w:spacing w:before="120" w:after="120"/>
              <w:jc w:val="center"/>
              <w:rPr>
                <w:sz w:val="20"/>
                <w:szCs w:val="20"/>
              </w:rPr>
            </w:pPr>
            <w:r>
              <w:rPr>
                <w:sz w:val="20"/>
                <w:szCs w:val="20"/>
              </w:rPr>
              <w:t>N/A</w:t>
            </w:r>
          </w:p>
        </w:tc>
      </w:tr>
      <w:tr w:rsidR="004B3AFA" w:rsidRPr="00C41E61" w14:paraId="4A885468" w14:textId="77777777" w:rsidTr="00073A54">
        <w:tc>
          <w:tcPr>
            <w:tcW w:w="2808" w:type="dxa"/>
            <w:shd w:val="pct5" w:color="000000" w:fill="FFFFFF"/>
            <w:vAlign w:val="bottom"/>
          </w:tcPr>
          <w:p w14:paraId="0E1E43FB" w14:textId="77777777" w:rsidR="004B3AFA" w:rsidRDefault="004B3AFA" w:rsidP="00073A5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14:paraId="3A229FB8" w14:textId="77777777" w:rsidR="004B3AFA" w:rsidRPr="001E4C31" w:rsidRDefault="004B3AFA" w:rsidP="00073A54">
            <w:pPr>
              <w:spacing w:before="120" w:after="120"/>
              <w:jc w:val="center"/>
              <w:rPr>
                <w:rStyle w:val="Strong"/>
                <w:b w:val="0"/>
              </w:rPr>
            </w:pPr>
            <w:r>
              <w:rPr>
                <w:rStyle w:val="Strong"/>
                <w:b w:val="0"/>
              </w:rPr>
              <w:t>EUL</w:t>
            </w:r>
          </w:p>
        </w:tc>
        <w:tc>
          <w:tcPr>
            <w:tcW w:w="2790" w:type="dxa"/>
            <w:shd w:val="pct5" w:color="000000" w:fill="FFFFFF"/>
            <w:vAlign w:val="bottom"/>
          </w:tcPr>
          <w:p w14:paraId="5D561DC6" w14:textId="77777777" w:rsidR="004B3AFA" w:rsidRDefault="004B3AFA" w:rsidP="00073A54">
            <w:pPr>
              <w:spacing w:before="120" w:after="120"/>
              <w:jc w:val="center"/>
              <w:rPr>
                <w:sz w:val="20"/>
                <w:szCs w:val="20"/>
              </w:rPr>
            </w:pPr>
            <w:r>
              <w:rPr>
                <w:sz w:val="20"/>
                <w:szCs w:val="20"/>
              </w:rPr>
              <w:t>Code Baseline</w:t>
            </w:r>
          </w:p>
        </w:tc>
        <w:tc>
          <w:tcPr>
            <w:tcW w:w="2268" w:type="dxa"/>
            <w:shd w:val="pct5" w:color="000000" w:fill="FFFFFF"/>
            <w:vAlign w:val="bottom"/>
          </w:tcPr>
          <w:p w14:paraId="4BC11D28" w14:textId="77777777" w:rsidR="004B3AFA" w:rsidRDefault="004B3AFA" w:rsidP="00073A54">
            <w:pPr>
              <w:spacing w:before="120" w:after="120"/>
              <w:jc w:val="center"/>
              <w:rPr>
                <w:sz w:val="20"/>
                <w:szCs w:val="20"/>
              </w:rPr>
            </w:pPr>
            <w:r>
              <w:rPr>
                <w:sz w:val="20"/>
                <w:szCs w:val="20"/>
              </w:rPr>
              <w:t>N/A</w:t>
            </w:r>
          </w:p>
        </w:tc>
      </w:tr>
    </w:tbl>
    <w:p w14:paraId="3A149F81" w14:textId="77777777" w:rsidR="004B3AFA" w:rsidRDefault="004B3AFA" w:rsidP="004B3AFA">
      <w:pPr>
        <w:rPr>
          <w:rFonts w:cs="Arial"/>
          <w:sz w:val="20"/>
          <w:szCs w:val="20"/>
        </w:rPr>
      </w:pPr>
    </w:p>
    <w:p w14:paraId="4437DE25" w14:textId="77777777" w:rsidR="004B3AFA" w:rsidRDefault="004B3AFA" w:rsidP="004B3AFA">
      <w:pPr>
        <w:rPr>
          <w:rFonts w:cs="Arial"/>
          <w:sz w:val="20"/>
          <w:szCs w:val="20"/>
        </w:rPr>
      </w:pPr>
    </w:p>
    <w:p w14:paraId="21877B6C" w14:textId="77777777" w:rsidR="004B3AFA" w:rsidRPr="007F2147" w:rsidRDefault="004B3AFA" w:rsidP="004B3AFA">
      <w:pPr>
        <w:rPr>
          <w:rFonts w:cs="Arial"/>
          <w:sz w:val="20"/>
          <w:szCs w:val="20"/>
        </w:rPr>
      </w:pPr>
      <w:r w:rsidRPr="007F2147">
        <w:rPr>
          <w:rFonts w:cs="Arial"/>
          <w:sz w:val="20"/>
          <w:szCs w:val="20"/>
        </w:rPr>
        <w:t xml:space="preserve">Notes: </w:t>
      </w:r>
    </w:p>
    <w:p w14:paraId="1E0DB950" w14:textId="77777777" w:rsidR="004B3AFA" w:rsidRDefault="004B3AFA" w:rsidP="004B3AFA">
      <w:pPr>
        <w:numPr>
          <w:ilvl w:val="0"/>
          <w:numId w:val="19"/>
        </w:numPr>
        <w:rPr>
          <w:rFonts w:cs="Arial"/>
          <w:sz w:val="20"/>
          <w:szCs w:val="20"/>
        </w:rPr>
      </w:pPr>
      <w:r w:rsidRPr="007F2147">
        <w:rPr>
          <w:rFonts w:cs="Arial"/>
          <w:sz w:val="20"/>
          <w:szCs w:val="20"/>
        </w:rPr>
        <w:t>For ROB</w:t>
      </w:r>
      <w:r>
        <w:rPr>
          <w:rFonts w:cs="Arial"/>
          <w:sz w:val="20"/>
          <w:szCs w:val="20"/>
        </w:rPr>
        <w:t xml:space="preserve"> and REA</w:t>
      </w:r>
      <w:r w:rsidRPr="007F2147">
        <w:rPr>
          <w:rFonts w:cs="Arial"/>
          <w:sz w:val="20"/>
          <w:szCs w:val="20"/>
        </w:rPr>
        <w:t xml:space="preserve"> measures, First Baseline is the baseline for the full EUL.</w:t>
      </w:r>
      <w:r>
        <w:rPr>
          <w:rFonts w:cs="Arial"/>
          <w:sz w:val="20"/>
          <w:szCs w:val="20"/>
        </w:rPr>
        <w:t xml:space="preserve"> There is no second baseline.</w:t>
      </w:r>
    </w:p>
    <w:p w14:paraId="6212A895" w14:textId="5E09165C" w:rsidR="004B3AFA" w:rsidRPr="004B3AFA" w:rsidRDefault="004B3AFA" w:rsidP="004B3AFA">
      <w:pPr>
        <w:numPr>
          <w:ilvl w:val="0"/>
          <w:numId w:val="19"/>
        </w:numPr>
        <w:rPr>
          <w:rFonts w:cs="Arial"/>
          <w:sz w:val="20"/>
          <w:szCs w:val="20"/>
        </w:rPr>
      </w:pPr>
      <w:r w:rsidRPr="004B3AFA">
        <w:rPr>
          <w:rFonts w:cs="Arial"/>
          <w:sz w:val="20"/>
          <w:szCs w:val="20"/>
        </w:rPr>
        <w:t xml:space="preserve">For ER measures, First Baseline Period is the period for the </w:t>
      </w:r>
      <w:proofErr w:type="gramStart"/>
      <w:r w:rsidRPr="004B3AFA">
        <w:rPr>
          <w:rFonts w:cs="Arial"/>
          <w:sz w:val="20"/>
          <w:szCs w:val="20"/>
        </w:rPr>
        <w:t>RUL(</w:t>
      </w:r>
      <w:proofErr w:type="gramEnd"/>
      <w:r w:rsidRPr="004B3AFA">
        <w:rPr>
          <w:rFonts w:cs="Arial"/>
          <w:sz w:val="20"/>
          <w:szCs w:val="20"/>
        </w:rPr>
        <w:t>remaining useful life),defined by the CPUC as RUL=1/3 EUL. Second baseline period for ER is Code baseline for the period EUL-RUL.</w:t>
      </w:r>
    </w:p>
    <w:p w14:paraId="1DABA3F6" w14:textId="77777777" w:rsidR="004B3AFA" w:rsidRPr="00990B62" w:rsidRDefault="004B3AFA" w:rsidP="00D20486">
      <w:pPr>
        <w:pStyle w:val="Heading2"/>
        <w:rPr>
          <w:sz w:val="20"/>
        </w:rPr>
      </w:pPr>
      <w:bookmarkStart w:id="104" w:name="_Toc386699723"/>
    </w:p>
    <w:p w14:paraId="393A1051" w14:textId="77777777" w:rsidR="00C069A2" w:rsidRDefault="00C069A2" w:rsidP="00D20486">
      <w:pPr>
        <w:pStyle w:val="Heading2"/>
      </w:pPr>
      <w:r>
        <w:t xml:space="preserve">2.1 </w:t>
      </w:r>
      <w:r w:rsidR="007878B9">
        <w:t xml:space="preserve">Electric </w:t>
      </w:r>
      <w:r>
        <w:t>Energy Savings Estimation Methodologies</w:t>
      </w:r>
      <w:bookmarkEnd w:id="84"/>
      <w:bookmarkEnd w:id="85"/>
      <w:bookmarkEnd w:id="86"/>
      <w:bookmarkEnd w:id="104"/>
    </w:p>
    <w:p w14:paraId="2E80712F" w14:textId="76BD9DB5" w:rsidR="008A0105" w:rsidRPr="008A0105" w:rsidRDefault="008A0105" w:rsidP="008A0105">
      <w:pPr>
        <w:rPr>
          <w:sz w:val="20"/>
        </w:rPr>
      </w:pPr>
      <w:bookmarkStart w:id="105" w:name="_Toc304800212"/>
      <w:bookmarkStart w:id="106" w:name="_Toc324318366"/>
      <w:bookmarkStart w:id="107" w:name="_Toc324340495"/>
      <w:r w:rsidRPr="008A0105">
        <w:rPr>
          <w:sz w:val="20"/>
        </w:rPr>
        <w:t>Electric energy savings depend on climate zone, building type, and building vintage. This information is gathered from program applications to determine unique savings estimates for each installation. Deemed savings values are taken directly from DEER201</w:t>
      </w:r>
      <w:r>
        <w:rPr>
          <w:sz w:val="20"/>
        </w:rPr>
        <w:t>4</w:t>
      </w:r>
      <w:r w:rsidRPr="008A0105">
        <w:rPr>
          <w:sz w:val="20"/>
        </w:rPr>
        <w:t xml:space="preserve"> (Measure ID: D03-051), which provides kW and kWh savings per horsepower of the installed VFD. No changes were made to measure code D03-051 under the DEER20</w:t>
      </w:r>
      <w:r>
        <w:rPr>
          <w:sz w:val="20"/>
        </w:rPr>
        <w:t>14, DEER2011,</w:t>
      </w:r>
      <w:r w:rsidRPr="008A0105">
        <w:rPr>
          <w:sz w:val="20"/>
        </w:rPr>
        <w:t xml:space="preserve"> or DEER2008 updates and therefore DEER2005 values were used </w:t>
      </w:r>
      <w:r>
        <w:rPr>
          <w:sz w:val="20"/>
        </w:rPr>
        <w:t>in the DEER2014</w:t>
      </w:r>
      <w:r w:rsidRPr="008A0105">
        <w:rPr>
          <w:sz w:val="20"/>
        </w:rPr>
        <w:t xml:space="preserve"> database to estimate the savings. The savings values listed for Measure ID D03-051 </w:t>
      </w:r>
      <w:proofErr w:type="gramStart"/>
      <w:r w:rsidRPr="008A0105">
        <w:rPr>
          <w:sz w:val="20"/>
        </w:rPr>
        <w:t>were</w:t>
      </w:r>
      <w:proofErr w:type="gramEnd"/>
      <w:r>
        <w:rPr>
          <w:sz w:val="20"/>
        </w:rPr>
        <w:t xml:space="preserve"> </w:t>
      </w:r>
      <w:r w:rsidRPr="008A0105">
        <w:rPr>
          <w:sz w:val="20"/>
        </w:rPr>
        <w:t>determined by using the DOE2</w:t>
      </w:r>
      <w:r>
        <w:rPr>
          <w:sz w:val="20"/>
        </w:rPr>
        <w:t xml:space="preserve"> </w:t>
      </w:r>
      <w:r w:rsidRPr="008A0105">
        <w:rPr>
          <w:sz w:val="20"/>
        </w:rPr>
        <w:t>modeling program. Details regarding the DOE2 modeling approach and specific assumptions are given in the DEER documentation.</w:t>
      </w:r>
      <w:r w:rsidRPr="008A0105">
        <w:rPr>
          <w:sz w:val="20"/>
          <w:vertAlign w:val="superscript"/>
        </w:rPr>
        <w:fldChar w:fldCharType="begin"/>
      </w:r>
      <w:r w:rsidRPr="008A0105">
        <w:rPr>
          <w:sz w:val="20"/>
          <w:vertAlign w:val="superscript"/>
        </w:rPr>
        <w:instrText xml:space="preserve"> NOTEREF _Ref190594526 \h  \* MERGEFORMAT </w:instrText>
      </w:r>
      <w:r w:rsidRPr="008A0105">
        <w:rPr>
          <w:sz w:val="20"/>
          <w:vertAlign w:val="superscript"/>
        </w:rPr>
      </w:r>
      <w:r w:rsidRPr="008A0105">
        <w:rPr>
          <w:sz w:val="20"/>
          <w:vertAlign w:val="superscript"/>
        </w:rPr>
        <w:fldChar w:fldCharType="separate"/>
      </w:r>
      <w:r w:rsidRPr="008A0105">
        <w:rPr>
          <w:sz w:val="20"/>
          <w:vertAlign w:val="superscript"/>
        </w:rPr>
        <w:t>1</w:t>
      </w:r>
      <w:r w:rsidRPr="008A0105">
        <w:rPr>
          <w:sz w:val="20"/>
          <w:vertAlign w:val="superscript"/>
        </w:rPr>
        <w:fldChar w:fldCharType="end"/>
      </w:r>
      <w:r w:rsidRPr="008A0105">
        <w:rPr>
          <w:sz w:val="20"/>
          <w:vertAlign w:val="superscript"/>
        </w:rPr>
        <w:t xml:space="preserve"> </w:t>
      </w:r>
    </w:p>
    <w:p w14:paraId="393A106F" w14:textId="77777777" w:rsidR="00C069A2" w:rsidRDefault="0030550A" w:rsidP="002E0043">
      <w:pPr>
        <w:pStyle w:val="Heading2"/>
        <w:keepNext w:val="0"/>
      </w:pPr>
      <w:bookmarkStart w:id="108" w:name="_Toc386699724"/>
      <w:r>
        <w:t>2.2. Demand R</w:t>
      </w:r>
      <w:r w:rsidR="00C069A2">
        <w:t>eduction Estimation Methodologies</w:t>
      </w:r>
      <w:bookmarkEnd w:id="105"/>
      <w:bookmarkEnd w:id="106"/>
      <w:bookmarkEnd w:id="107"/>
      <w:bookmarkEnd w:id="108"/>
    </w:p>
    <w:p w14:paraId="04172E4A" w14:textId="678AFA86" w:rsidR="00C13301" w:rsidRPr="008A0105" w:rsidRDefault="008A0105" w:rsidP="008A0105">
      <w:pPr>
        <w:pStyle w:val="BodyText"/>
        <w:rPr>
          <w:rFonts w:cs="Arial"/>
          <w:sz w:val="20"/>
          <w:szCs w:val="22"/>
        </w:rPr>
      </w:pPr>
      <w:bookmarkStart w:id="109" w:name="_Toc304800213"/>
      <w:bookmarkStart w:id="110" w:name="_Toc324318367"/>
      <w:bookmarkStart w:id="111" w:name="_Toc324340496"/>
      <w:r w:rsidRPr="008A0105">
        <w:rPr>
          <w:rFonts w:cs="Arial"/>
          <w:sz w:val="20"/>
          <w:szCs w:val="22"/>
        </w:rPr>
        <w:t>Electric demand savings depend on climate zone, building type, and building vintage. The demand savings for this measure were developed along with the energy savings as described in the section above.</w:t>
      </w:r>
    </w:p>
    <w:p w14:paraId="40A12E91" w14:textId="3807EE9C" w:rsidR="00F10E38" w:rsidRPr="00F10E38" w:rsidRDefault="00276ED1" w:rsidP="00F10E38">
      <w:pPr>
        <w:pStyle w:val="Heading2"/>
      </w:pPr>
      <w:bookmarkStart w:id="112" w:name="_Toc386699725"/>
      <w:r w:rsidRPr="00BF0332">
        <w:t xml:space="preserve">2.3. </w:t>
      </w:r>
      <w:r w:rsidR="007878B9" w:rsidRPr="00BF0332">
        <w:t>Gas Energy Savings Estimation Methodologies</w:t>
      </w:r>
      <w:bookmarkStart w:id="113" w:name="_Toc304800214"/>
      <w:bookmarkStart w:id="114" w:name="_Toc324318368"/>
      <w:bookmarkStart w:id="115" w:name="_Toc324340497"/>
      <w:bookmarkEnd w:id="109"/>
      <w:bookmarkEnd w:id="110"/>
      <w:bookmarkEnd w:id="111"/>
      <w:bookmarkEnd w:id="112"/>
    </w:p>
    <w:p w14:paraId="7D7A9808" w14:textId="76933F73" w:rsidR="00D0393F" w:rsidRPr="00C04C3C" w:rsidRDefault="00D0393F" w:rsidP="00C04C3C">
      <w:pPr>
        <w:rPr>
          <w:sz w:val="20"/>
          <w:szCs w:val="20"/>
        </w:rPr>
      </w:pPr>
      <w:r w:rsidRPr="00C04C3C">
        <w:rPr>
          <w:sz w:val="20"/>
          <w:szCs w:val="20"/>
        </w:rPr>
        <w:t xml:space="preserve">There </w:t>
      </w:r>
      <w:proofErr w:type="gramStart"/>
      <w:r w:rsidRPr="00C04C3C">
        <w:rPr>
          <w:sz w:val="20"/>
          <w:szCs w:val="20"/>
        </w:rPr>
        <w:t>are</w:t>
      </w:r>
      <w:proofErr w:type="gramEnd"/>
      <w:r w:rsidRPr="00C04C3C">
        <w:rPr>
          <w:sz w:val="20"/>
          <w:szCs w:val="20"/>
        </w:rPr>
        <w:t xml:space="preserve"> no gas energy savings associated with this measure.</w:t>
      </w:r>
    </w:p>
    <w:p w14:paraId="5E041D61" w14:textId="02782B85" w:rsidR="008A0105" w:rsidRPr="008A0105" w:rsidRDefault="00C069A2" w:rsidP="008A0105">
      <w:pPr>
        <w:pStyle w:val="Heading1"/>
        <w:rPr>
          <w:i/>
          <w:sz w:val="28"/>
          <w:szCs w:val="28"/>
        </w:rPr>
      </w:pPr>
      <w:bookmarkStart w:id="116" w:name="_Toc386699726"/>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13"/>
      <w:bookmarkEnd w:id="114"/>
      <w:bookmarkEnd w:id="115"/>
      <w:bookmarkEnd w:id="116"/>
      <w:r w:rsidR="00844B27" w:rsidRPr="007A4D97">
        <w:rPr>
          <w:i/>
          <w:sz w:val="28"/>
          <w:szCs w:val="28"/>
        </w:rPr>
        <w:t xml:space="preserve"> </w:t>
      </w:r>
    </w:p>
    <w:p w14:paraId="393A10AD" w14:textId="5EE7ECE6" w:rsidR="008840FA" w:rsidRPr="008A0105" w:rsidRDefault="008A0105" w:rsidP="00423B48">
      <w:pPr>
        <w:pStyle w:val="Reminders"/>
        <w:rPr>
          <w:rFonts w:ascii="Arial" w:hAnsi="Arial" w:cs="Arial"/>
          <w:i w:val="0"/>
          <w:color w:val="auto"/>
          <w:sz w:val="20"/>
          <w:szCs w:val="20"/>
        </w:rPr>
      </w:pPr>
      <w:r w:rsidRPr="008A0105">
        <w:rPr>
          <w:rFonts w:ascii="Arial" w:hAnsi="Arial" w:cs="Arial"/>
          <w:i w:val="0"/>
          <w:color w:val="auto"/>
          <w:sz w:val="20"/>
          <w:szCs w:val="22"/>
        </w:rPr>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w:t>
      </w:r>
      <w:r w:rsidRPr="008A0105">
        <w:rPr>
          <w:rFonts w:ascii="Arial" w:hAnsi="Arial" w:cs="Arial"/>
          <w:i w:val="0"/>
          <w:color w:val="auto"/>
          <w:sz w:val="20"/>
          <w:szCs w:val="22"/>
        </w:rPr>
        <w:lastRenderedPageBreak/>
        <w:t>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r w:rsidR="00B66898" w:rsidRPr="008A0105">
        <w:rPr>
          <w:rFonts w:ascii="Arial" w:hAnsi="Arial" w:cs="Arial"/>
          <w:i w:val="0"/>
          <w:color w:val="auto"/>
          <w:sz w:val="18"/>
          <w:szCs w:val="20"/>
        </w:rPr>
        <w:t xml:space="preserve"> </w:t>
      </w:r>
    </w:p>
    <w:p w14:paraId="393A10AE" w14:textId="77777777" w:rsidR="00B7164C" w:rsidRPr="007A4D97" w:rsidRDefault="00BF0332" w:rsidP="0087599D">
      <w:pPr>
        <w:pStyle w:val="Heading2"/>
      </w:pPr>
      <w:bookmarkStart w:id="117" w:name="_Toc173742996"/>
      <w:bookmarkStart w:id="118" w:name="_Toc304800215"/>
      <w:bookmarkStart w:id="119" w:name="_Toc324318369"/>
      <w:bookmarkStart w:id="120" w:name="_Toc324340498"/>
      <w:bookmarkStart w:id="121" w:name="_Toc386699727"/>
      <w:r w:rsidRPr="007A4D97">
        <w:t>3.1 Base Case</w:t>
      </w:r>
      <w:r w:rsidR="00B7164C" w:rsidRPr="007A4D97">
        <w:t xml:space="preserve"> Load Shapes</w:t>
      </w:r>
      <w:bookmarkEnd w:id="117"/>
      <w:bookmarkEnd w:id="118"/>
      <w:bookmarkEnd w:id="119"/>
      <w:bookmarkEnd w:id="120"/>
      <w:bookmarkEnd w:id="121"/>
    </w:p>
    <w:p w14:paraId="393A10BE" w14:textId="1751A8DA" w:rsidR="008840FA" w:rsidRPr="00A12AEE" w:rsidRDefault="00A12AEE" w:rsidP="00B7164C">
      <w:pPr>
        <w:rPr>
          <w:rFonts w:cs="Arial"/>
          <w:sz w:val="18"/>
          <w:szCs w:val="20"/>
        </w:rPr>
      </w:pPr>
      <w:bookmarkStart w:id="122" w:name="_Toc173742997"/>
      <w:r w:rsidRPr="00A12AEE">
        <w:rPr>
          <w:sz w:val="20"/>
        </w:rPr>
        <w:t>The base case load shape would be expected to follow a typical non-residential HVAC ventilation-fan end use load shape (E3 code = VENT).</w:t>
      </w:r>
    </w:p>
    <w:p w14:paraId="393A10BF" w14:textId="77777777" w:rsidR="00B7164C" w:rsidRPr="007A4D97" w:rsidRDefault="00B7164C" w:rsidP="00D20486">
      <w:pPr>
        <w:pStyle w:val="Heading2"/>
        <w:keepNext w:val="0"/>
      </w:pPr>
      <w:bookmarkStart w:id="123" w:name="_Toc304800216"/>
      <w:bookmarkStart w:id="124" w:name="_Toc324318370"/>
      <w:bookmarkStart w:id="125" w:name="_Toc324340499"/>
      <w:bookmarkStart w:id="126" w:name="_Toc386699728"/>
      <w:r w:rsidRPr="007A4D97">
        <w:t>3.2 Measure Load Shapes</w:t>
      </w:r>
      <w:bookmarkEnd w:id="122"/>
      <w:bookmarkEnd w:id="123"/>
      <w:bookmarkEnd w:id="124"/>
      <w:bookmarkEnd w:id="125"/>
      <w:bookmarkEnd w:id="126"/>
    </w:p>
    <w:p w14:paraId="1668B3AD" w14:textId="77777777" w:rsidR="00A12AEE" w:rsidRPr="00A12AEE" w:rsidRDefault="00A12AEE" w:rsidP="00A12AEE">
      <w:pPr>
        <w:pStyle w:val="BodyText"/>
        <w:rPr>
          <w:sz w:val="20"/>
        </w:rPr>
      </w:pPr>
      <w:r w:rsidRPr="00A12AEE">
        <w:rPr>
          <w:sz w:val="20"/>
        </w:rPr>
        <w:t xml:space="preserve">For purposes of the net benefits estimates in the E3 calculator, what is required is the load shape that ideally represents the </w:t>
      </w:r>
      <w:r w:rsidRPr="00A12AEE">
        <w:rPr>
          <w:i/>
          <w:sz w:val="20"/>
        </w:rPr>
        <w:t>difference</w:t>
      </w:r>
      <w:r w:rsidRPr="00A12AEE">
        <w:rPr>
          <w:sz w:val="20"/>
        </w:rPr>
        <w:t xml:space="preserve"> between the base equipment and the installed energy efficiency measure. This </w:t>
      </w:r>
      <w:r w:rsidRPr="00A12AEE">
        <w:rPr>
          <w:i/>
          <w:sz w:val="20"/>
        </w:rPr>
        <w:t>difference</w:t>
      </w:r>
      <w:r w:rsidRPr="00A12AEE">
        <w:rPr>
          <w:sz w:val="20"/>
        </w:rPr>
        <w:t xml:space="preserve"> load profile is what is called the Measure Load Shape and would be the preferred load shape for use in the net benefits calculations.</w:t>
      </w:r>
    </w:p>
    <w:p w14:paraId="393A10D5" w14:textId="49C1B376" w:rsidR="00D87EFF" w:rsidRPr="002E0043" w:rsidRDefault="00A12AEE" w:rsidP="00A12AEE">
      <w:r w:rsidRPr="00A12AEE">
        <w:rPr>
          <w:sz w:val="20"/>
        </w:rPr>
        <w:t>The measure load shape would be expected to follow a typical non-residential HVAC ventilation-fan end use load shape (E3 code = VENT).</w:t>
      </w:r>
    </w:p>
    <w:p w14:paraId="393A10D7" w14:textId="270E97E0" w:rsidR="00B16BE4" w:rsidRDefault="00C069A2" w:rsidP="00A12AEE">
      <w:pPr>
        <w:pStyle w:val="Heading1"/>
        <w:keepNext w:val="0"/>
      </w:pPr>
      <w:bookmarkStart w:id="127" w:name="_Toc304800217"/>
      <w:bookmarkStart w:id="128" w:name="_Toc324318371"/>
      <w:bookmarkStart w:id="129" w:name="_Toc324340500"/>
      <w:bookmarkStart w:id="130" w:name="_Toc386699729"/>
      <w:proofErr w:type="gramStart"/>
      <w:r>
        <w:t>Section 4</w:t>
      </w:r>
      <w:r w:rsidR="003129E8">
        <w:t>.</w:t>
      </w:r>
      <w:proofErr w:type="gramEnd"/>
      <w:r>
        <w:t xml:space="preserve"> Base Case &amp; Measure Costs</w:t>
      </w:r>
      <w:bookmarkEnd w:id="127"/>
      <w:bookmarkEnd w:id="128"/>
      <w:bookmarkEnd w:id="129"/>
      <w:bookmarkEnd w:id="130"/>
    </w:p>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4B3AFA" w:rsidRPr="00104A00" w14:paraId="6FA242D7" w14:textId="77777777" w:rsidTr="00073A54">
        <w:trPr>
          <w:trHeight w:val="255"/>
        </w:trPr>
        <w:tc>
          <w:tcPr>
            <w:tcW w:w="1964" w:type="dxa"/>
            <w:shd w:val="clear" w:color="auto" w:fill="262626"/>
            <w:noWrap/>
            <w:vAlign w:val="bottom"/>
          </w:tcPr>
          <w:p w14:paraId="05A697E4" w14:textId="77777777" w:rsidR="004B3AFA" w:rsidRPr="001E4C31" w:rsidRDefault="004B3AFA" w:rsidP="00073A54">
            <w:pPr>
              <w:jc w:val="center"/>
              <w:rPr>
                <w:rFonts w:cs="Arial"/>
                <w:b/>
              </w:rPr>
            </w:pPr>
            <w:bookmarkStart w:id="131" w:name="_Toc304800218"/>
            <w:bookmarkStart w:id="132" w:name="_Toc324318372"/>
            <w:bookmarkStart w:id="133" w:name="_Toc324340501"/>
            <w:bookmarkStart w:id="134" w:name="_Toc386699730"/>
            <w:r>
              <w:rPr>
                <w:rFonts w:cs="Arial"/>
                <w:b/>
              </w:rPr>
              <w:t>Measure Application</w:t>
            </w:r>
            <w:r w:rsidRPr="001E4C31">
              <w:rPr>
                <w:rFonts w:cs="Arial"/>
                <w:b/>
              </w:rPr>
              <w:t xml:space="preserve"> Type</w:t>
            </w:r>
          </w:p>
        </w:tc>
        <w:tc>
          <w:tcPr>
            <w:tcW w:w="1202" w:type="dxa"/>
            <w:shd w:val="clear" w:color="auto" w:fill="262626"/>
            <w:noWrap/>
            <w:vAlign w:val="bottom"/>
          </w:tcPr>
          <w:p w14:paraId="631DBC86" w14:textId="77777777" w:rsidR="004B3AFA" w:rsidRPr="001E4C31" w:rsidRDefault="004B3AFA" w:rsidP="00073A54">
            <w:pPr>
              <w:jc w:val="center"/>
              <w:rPr>
                <w:rFonts w:cs="Arial"/>
                <w:b/>
              </w:rPr>
            </w:pPr>
            <w:r w:rsidRPr="001E4C31">
              <w:rPr>
                <w:rFonts w:cs="Arial"/>
                <w:b/>
              </w:rPr>
              <w:t>Measure Life Basis</w:t>
            </w:r>
          </w:p>
        </w:tc>
        <w:tc>
          <w:tcPr>
            <w:tcW w:w="2699" w:type="dxa"/>
            <w:shd w:val="clear" w:color="auto" w:fill="262626"/>
            <w:vAlign w:val="bottom"/>
          </w:tcPr>
          <w:p w14:paraId="06D65173" w14:textId="77777777" w:rsidR="004B3AFA" w:rsidRPr="001E4C31" w:rsidRDefault="004B3AFA" w:rsidP="00073A54">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14:paraId="66FF6A6A" w14:textId="77777777" w:rsidR="004B3AFA" w:rsidRPr="001E4C31" w:rsidRDefault="004B3AFA" w:rsidP="00073A54">
            <w:pPr>
              <w:jc w:val="center"/>
              <w:rPr>
                <w:rFonts w:cs="Arial"/>
                <w:b/>
              </w:rPr>
            </w:pPr>
            <w:r>
              <w:rPr>
                <w:rFonts w:cs="Arial"/>
                <w:b/>
              </w:rPr>
              <w:t>Second Baseline Period Full</w:t>
            </w:r>
            <w:r w:rsidRPr="001E4C31">
              <w:rPr>
                <w:rFonts w:cs="Arial"/>
                <w:b/>
              </w:rPr>
              <w:t xml:space="preserve"> Measure Cost (EUL – RUL)</w:t>
            </w:r>
          </w:p>
        </w:tc>
      </w:tr>
      <w:tr w:rsidR="004B3AFA" w:rsidRPr="00104A00" w14:paraId="54675831" w14:textId="77777777" w:rsidTr="00073A54">
        <w:trPr>
          <w:trHeight w:val="170"/>
        </w:trPr>
        <w:tc>
          <w:tcPr>
            <w:tcW w:w="1964" w:type="dxa"/>
            <w:shd w:val="pct20" w:color="000000" w:fill="FFFFFF"/>
            <w:noWrap/>
            <w:vAlign w:val="bottom"/>
          </w:tcPr>
          <w:p w14:paraId="3EEB263F" w14:textId="77777777" w:rsidR="004B3AFA" w:rsidRPr="001E4C31" w:rsidRDefault="004B3AFA" w:rsidP="00073A54">
            <w:pPr>
              <w:jc w:val="center"/>
              <w:rPr>
                <w:rFonts w:cs="Arial"/>
                <w:b/>
                <w:i/>
              </w:rPr>
            </w:pPr>
            <w:r w:rsidRPr="00ED7D3D">
              <w:rPr>
                <w:rFonts w:cs="Arial"/>
                <w:b/>
                <w:i/>
              </w:rPr>
              <w:t>N</w:t>
            </w:r>
            <w:r>
              <w:rPr>
                <w:rFonts w:cs="Arial"/>
                <w:b/>
                <w:i/>
              </w:rPr>
              <w:t>C (new construction)</w:t>
            </w:r>
          </w:p>
        </w:tc>
        <w:tc>
          <w:tcPr>
            <w:tcW w:w="1202" w:type="dxa"/>
            <w:shd w:val="pct20" w:color="000000" w:fill="FFFFFF"/>
            <w:noWrap/>
            <w:vAlign w:val="bottom"/>
          </w:tcPr>
          <w:p w14:paraId="5E270757" w14:textId="77777777" w:rsidR="004B3AFA" w:rsidRPr="001E4C31" w:rsidRDefault="004B3AFA" w:rsidP="00073A54">
            <w:pPr>
              <w:jc w:val="center"/>
              <w:rPr>
                <w:rFonts w:cs="Arial"/>
                <w:sz w:val="20"/>
                <w:szCs w:val="20"/>
              </w:rPr>
            </w:pPr>
            <w:r w:rsidRPr="001E4C31">
              <w:rPr>
                <w:rFonts w:cs="Arial"/>
                <w:sz w:val="20"/>
                <w:szCs w:val="20"/>
              </w:rPr>
              <w:t>EUL</w:t>
            </w:r>
          </w:p>
        </w:tc>
        <w:tc>
          <w:tcPr>
            <w:tcW w:w="2699" w:type="dxa"/>
            <w:shd w:val="pct20" w:color="000000" w:fill="FFFFFF"/>
            <w:vAlign w:val="bottom"/>
          </w:tcPr>
          <w:p w14:paraId="1A518740" w14:textId="77777777" w:rsidR="004B3AFA" w:rsidRPr="001E4C31" w:rsidRDefault="004B3AFA" w:rsidP="00073A54">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44BE5247" w14:textId="77777777" w:rsidR="004B3AFA" w:rsidRPr="001E4C31" w:rsidRDefault="004B3AFA" w:rsidP="00073A54">
            <w:pPr>
              <w:jc w:val="center"/>
              <w:rPr>
                <w:rFonts w:cs="Arial"/>
                <w:sz w:val="20"/>
                <w:szCs w:val="20"/>
              </w:rPr>
            </w:pPr>
            <w:r w:rsidRPr="001E4C31">
              <w:rPr>
                <w:rFonts w:cs="Arial"/>
                <w:sz w:val="20"/>
                <w:szCs w:val="20"/>
              </w:rPr>
              <w:t>N/A</w:t>
            </w:r>
          </w:p>
        </w:tc>
      </w:tr>
      <w:tr w:rsidR="004B3AFA" w:rsidRPr="00104A00" w14:paraId="2BF8004E" w14:textId="77777777" w:rsidTr="00073A54">
        <w:trPr>
          <w:trHeight w:val="170"/>
        </w:trPr>
        <w:tc>
          <w:tcPr>
            <w:tcW w:w="1964" w:type="dxa"/>
            <w:shd w:val="pct5" w:color="000000" w:fill="FFFFFF"/>
            <w:noWrap/>
            <w:vAlign w:val="bottom"/>
          </w:tcPr>
          <w:p w14:paraId="1BAF26F2" w14:textId="77777777" w:rsidR="004B3AFA" w:rsidRPr="001E4C31" w:rsidRDefault="004B3AFA" w:rsidP="00073A54">
            <w:pPr>
              <w:jc w:val="center"/>
              <w:rPr>
                <w:rFonts w:cs="Arial"/>
                <w:b/>
                <w:i/>
              </w:rPr>
            </w:pPr>
            <w:r w:rsidRPr="001E4C31">
              <w:rPr>
                <w:rFonts w:cs="Arial"/>
                <w:b/>
                <w:i/>
              </w:rPr>
              <w:t>ROB(replace on burnout)</w:t>
            </w:r>
          </w:p>
        </w:tc>
        <w:tc>
          <w:tcPr>
            <w:tcW w:w="1202" w:type="dxa"/>
            <w:shd w:val="pct5" w:color="000000" w:fill="FFFFFF"/>
            <w:noWrap/>
            <w:vAlign w:val="bottom"/>
          </w:tcPr>
          <w:p w14:paraId="2975CEE8" w14:textId="77777777" w:rsidR="004B3AFA" w:rsidRPr="001E4C31" w:rsidRDefault="004B3AFA" w:rsidP="00073A54">
            <w:pPr>
              <w:jc w:val="center"/>
              <w:rPr>
                <w:rFonts w:cs="Arial"/>
                <w:sz w:val="20"/>
                <w:szCs w:val="20"/>
              </w:rPr>
            </w:pPr>
            <w:r w:rsidRPr="001E4C31">
              <w:rPr>
                <w:rFonts w:cs="Arial"/>
                <w:sz w:val="20"/>
                <w:szCs w:val="20"/>
              </w:rPr>
              <w:t>EUL</w:t>
            </w:r>
          </w:p>
        </w:tc>
        <w:tc>
          <w:tcPr>
            <w:tcW w:w="2699" w:type="dxa"/>
            <w:shd w:val="pct5" w:color="000000" w:fill="FFFFFF"/>
            <w:vAlign w:val="bottom"/>
          </w:tcPr>
          <w:p w14:paraId="278F6E94" w14:textId="77777777" w:rsidR="004B3AFA" w:rsidRPr="001E4C31" w:rsidRDefault="004B3AFA" w:rsidP="00073A54">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4491E481" w14:textId="77777777" w:rsidR="004B3AFA" w:rsidRPr="001E4C31" w:rsidRDefault="004B3AFA" w:rsidP="00073A54">
            <w:pPr>
              <w:jc w:val="center"/>
              <w:rPr>
                <w:rFonts w:cs="Arial"/>
                <w:sz w:val="20"/>
                <w:szCs w:val="20"/>
              </w:rPr>
            </w:pPr>
            <w:r w:rsidRPr="001E4C31">
              <w:rPr>
                <w:rFonts w:cs="Arial"/>
                <w:sz w:val="20"/>
                <w:szCs w:val="20"/>
              </w:rPr>
              <w:t>N/A</w:t>
            </w:r>
          </w:p>
        </w:tc>
      </w:tr>
      <w:tr w:rsidR="004B3AFA" w:rsidRPr="00104A00" w14:paraId="6E2986E1" w14:textId="77777777" w:rsidTr="00073A54">
        <w:trPr>
          <w:trHeight w:val="255"/>
        </w:trPr>
        <w:tc>
          <w:tcPr>
            <w:tcW w:w="1964" w:type="dxa"/>
            <w:shd w:val="pct20" w:color="000000" w:fill="FFFFFF"/>
            <w:noWrap/>
            <w:vAlign w:val="bottom"/>
          </w:tcPr>
          <w:p w14:paraId="64308933" w14:textId="77777777" w:rsidR="004B3AFA" w:rsidRPr="001E4C31" w:rsidRDefault="004B3AFA" w:rsidP="00073A54">
            <w:pPr>
              <w:jc w:val="center"/>
              <w:rPr>
                <w:rFonts w:cs="Arial"/>
                <w:b/>
                <w:i/>
              </w:rPr>
            </w:pPr>
            <w:r>
              <w:rPr>
                <w:rFonts w:cs="Arial"/>
                <w:b/>
                <w:i/>
              </w:rPr>
              <w:t>ER (early retirement)</w:t>
            </w:r>
          </w:p>
        </w:tc>
        <w:tc>
          <w:tcPr>
            <w:tcW w:w="1202" w:type="dxa"/>
            <w:shd w:val="pct20" w:color="000000" w:fill="FFFFFF"/>
            <w:noWrap/>
            <w:vAlign w:val="bottom"/>
          </w:tcPr>
          <w:p w14:paraId="350C53B4" w14:textId="77777777" w:rsidR="004B3AFA" w:rsidRPr="001E4C31" w:rsidRDefault="004B3AFA" w:rsidP="00073A54">
            <w:pPr>
              <w:jc w:val="center"/>
              <w:rPr>
                <w:rFonts w:cs="Arial"/>
                <w:sz w:val="20"/>
                <w:szCs w:val="20"/>
              </w:rPr>
            </w:pPr>
            <w:r w:rsidRPr="001E4C31">
              <w:rPr>
                <w:rFonts w:cs="Arial"/>
                <w:sz w:val="20"/>
                <w:szCs w:val="20"/>
              </w:rPr>
              <w:t>RUL/</w:t>
            </w:r>
          </w:p>
          <w:p w14:paraId="34F3E2A1" w14:textId="77777777" w:rsidR="004B3AFA" w:rsidRPr="001E4C31" w:rsidRDefault="004B3AFA" w:rsidP="00073A54">
            <w:pPr>
              <w:jc w:val="center"/>
              <w:rPr>
                <w:rFonts w:cs="Arial"/>
                <w:sz w:val="20"/>
                <w:szCs w:val="20"/>
              </w:rPr>
            </w:pPr>
            <w:r w:rsidRPr="001E4C31">
              <w:rPr>
                <w:rFonts w:cs="Arial"/>
                <w:sz w:val="20"/>
                <w:szCs w:val="20"/>
              </w:rPr>
              <w:t>EUL-RUL</w:t>
            </w:r>
          </w:p>
        </w:tc>
        <w:tc>
          <w:tcPr>
            <w:tcW w:w="2699" w:type="dxa"/>
            <w:shd w:val="pct20" w:color="000000" w:fill="FFFFFF"/>
            <w:vAlign w:val="bottom"/>
          </w:tcPr>
          <w:p w14:paraId="0B4A03D9" w14:textId="77777777" w:rsidR="004B3AFA" w:rsidRPr="001E4C31" w:rsidRDefault="004B3AFA" w:rsidP="00073A54">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18248A4" w14:textId="77777777" w:rsidR="004B3AFA" w:rsidRPr="001E4C31" w:rsidRDefault="004B3AFA" w:rsidP="00073A54">
            <w:pPr>
              <w:jc w:val="center"/>
              <w:rPr>
                <w:rFonts w:cs="Arial"/>
                <w:sz w:val="20"/>
                <w:szCs w:val="20"/>
              </w:rPr>
            </w:pPr>
            <w:r w:rsidRPr="001E4C31">
              <w:rPr>
                <w:rFonts w:cs="Arial"/>
                <w:sz w:val="20"/>
                <w:szCs w:val="20"/>
              </w:rPr>
              <w:t>Calculated as Negative Full Gross Base Case Cost</w:t>
            </w:r>
          </w:p>
        </w:tc>
      </w:tr>
      <w:tr w:rsidR="004B3AFA" w:rsidRPr="00104A00" w14:paraId="3FD12937" w14:textId="77777777" w:rsidTr="00073A54">
        <w:trPr>
          <w:trHeight w:val="255"/>
        </w:trPr>
        <w:tc>
          <w:tcPr>
            <w:tcW w:w="1964" w:type="dxa"/>
            <w:shd w:val="pct20" w:color="000000" w:fill="FFFFFF"/>
            <w:noWrap/>
            <w:vAlign w:val="bottom"/>
          </w:tcPr>
          <w:p w14:paraId="4A2854A2" w14:textId="77777777" w:rsidR="004B3AFA" w:rsidRDefault="004B3AFA" w:rsidP="00073A54">
            <w:pPr>
              <w:jc w:val="center"/>
              <w:rPr>
                <w:rFonts w:cs="Arial"/>
                <w:b/>
                <w:i/>
              </w:rPr>
            </w:pPr>
            <w:r>
              <w:rPr>
                <w:rFonts w:cs="Arial"/>
                <w:b/>
                <w:i/>
              </w:rPr>
              <w:t>REA (retrofit add on)</w:t>
            </w:r>
          </w:p>
        </w:tc>
        <w:tc>
          <w:tcPr>
            <w:tcW w:w="1202" w:type="dxa"/>
            <w:shd w:val="pct20" w:color="000000" w:fill="FFFFFF"/>
            <w:noWrap/>
            <w:vAlign w:val="bottom"/>
          </w:tcPr>
          <w:p w14:paraId="08439E1A" w14:textId="77777777" w:rsidR="004B3AFA" w:rsidRPr="001E4C31" w:rsidRDefault="004B3AFA" w:rsidP="00073A54">
            <w:pPr>
              <w:jc w:val="center"/>
              <w:rPr>
                <w:rFonts w:cs="Arial"/>
                <w:sz w:val="20"/>
                <w:szCs w:val="20"/>
              </w:rPr>
            </w:pPr>
            <w:r>
              <w:rPr>
                <w:rFonts w:cs="Arial"/>
                <w:sz w:val="20"/>
                <w:szCs w:val="20"/>
              </w:rPr>
              <w:t>EUL</w:t>
            </w:r>
          </w:p>
        </w:tc>
        <w:tc>
          <w:tcPr>
            <w:tcW w:w="2699" w:type="dxa"/>
            <w:shd w:val="pct20" w:color="000000" w:fill="FFFFFF"/>
            <w:vAlign w:val="bottom"/>
          </w:tcPr>
          <w:p w14:paraId="2514F75B" w14:textId="77777777" w:rsidR="004B3AFA" w:rsidRPr="001E4C31" w:rsidRDefault="004B3AFA" w:rsidP="00073A54">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0622278" w14:textId="77777777" w:rsidR="004B3AFA" w:rsidRPr="001E4C31" w:rsidRDefault="004B3AFA" w:rsidP="00073A54">
            <w:pPr>
              <w:jc w:val="center"/>
              <w:rPr>
                <w:rFonts w:cs="Arial"/>
                <w:sz w:val="20"/>
                <w:szCs w:val="20"/>
              </w:rPr>
            </w:pPr>
            <w:r>
              <w:rPr>
                <w:rFonts w:cs="Arial"/>
                <w:sz w:val="20"/>
                <w:szCs w:val="20"/>
              </w:rPr>
              <w:t>N/A</w:t>
            </w:r>
          </w:p>
        </w:tc>
      </w:tr>
    </w:tbl>
    <w:p w14:paraId="393A10EF" w14:textId="77777777" w:rsidR="001B242B" w:rsidRPr="00F55847" w:rsidRDefault="00C069A2" w:rsidP="00D20486">
      <w:pPr>
        <w:pStyle w:val="Heading2"/>
        <w:keepNext w:val="0"/>
      </w:pPr>
      <w:r>
        <w:t>4.1 Base Case</w:t>
      </w:r>
      <w:r w:rsidR="00C221D5">
        <w:t>(</w:t>
      </w:r>
      <w:r>
        <w:t>s</w:t>
      </w:r>
      <w:r w:rsidR="00C221D5">
        <w:t>)</w:t>
      </w:r>
      <w:r>
        <w:t xml:space="preserve"> Costs</w:t>
      </w:r>
      <w:bookmarkEnd w:id="131"/>
      <w:bookmarkEnd w:id="132"/>
      <w:bookmarkEnd w:id="133"/>
      <w:bookmarkEnd w:id="134"/>
    </w:p>
    <w:p w14:paraId="393A1114" w14:textId="2820C00D" w:rsidR="00DD1C47" w:rsidRDefault="00EB538D" w:rsidP="00AB2D9E">
      <w:pPr>
        <w:rPr>
          <w:sz w:val="20"/>
          <w:szCs w:val="20"/>
        </w:rPr>
      </w:pPr>
      <w:r w:rsidRPr="00EB538D">
        <w:rPr>
          <w:sz w:val="20"/>
          <w:szCs w:val="20"/>
        </w:rPr>
        <w:t>The base case for this measure is a “do-nothing” alternative, i.e. not install a VFD</w:t>
      </w:r>
      <w:r>
        <w:rPr>
          <w:sz w:val="20"/>
          <w:szCs w:val="20"/>
        </w:rPr>
        <w:t xml:space="preserve">. </w:t>
      </w:r>
      <w:r w:rsidRPr="00EB538D">
        <w:rPr>
          <w:sz w:val="20"/>
          <w:szCs w:val="20"/>
        </w:rPr>
        <w:t xml:space="preserve"> If no VFD is installed, then the base case cost for this measure is zero. The base case cost is the same for both ER and NC projects.</w:t>
      </w:r>
    </w:p>
    <w:p w14:paraId="393A1115" w14:textId="77777777" w:rsidR="00C069A2" w:rsidRDefault="00663A00" w:rsidP="002E0043">
      <w:pPr>
        <w:pStyle w:val="Heading2"/>
        <w:keepNext w:val="0"/>
      </w:pPr>
      <w:bookmarkStart w:id="135" w:name="_Toc304800219"/>
      <w:bookmarkStart w:id="136" w:name="_Toc324318373"/>
      <w:bookmarkStart w:id="137" w:name="_Toc324340502"/>
      <w:bookmarkStart w:id="138" w:name="_Toc386699731"/>
      <w:r>
        <w:t>4.2 Meas</w:t>
      </w:r>
      <w:r w:rsidR="00C069A2">
        <w:t xml:space="preserve">ure </w:t>
      </w:r>
      <w:r w:rsidR="00930877">
        <w:t xml:space="preserve">Case </w:t>
      </w:r>
      <w:r w:rsidR="00C069A2">
        <w:t>Costs</w:t>
      </w:r>
      <w:bookmarkEnd w:id="135"/>
      <w:bookmarkEnd w:id="136"/>
      <w:bookmarkEnd w:id="137"/>
      <w:bookmarkEnd w:id="138"/>
      <w:r w:rsidR="00930877">
        <w:t xml:space="preserve"> </w:t>
      </w:r>
    </w:p>
    <w:p w14:paraId="009FDF1E" w14:textId="49977F68" w:rsidR="00EB538D" w:rsidRPr="00EB538D" w:rsidRDefault="00EB538D" w:rsidP="00EB538D">
      <w:pPr>
        <w:pStyle w:val="BodyText"/>
        <w:rPr>
          <w:sz w:val="20"/>
          <w:szCs w:val="20"/>
        </w:rPr>
      </w:pPr>
      <w:r w:rsidRPr="00EB538D">
        <w:rPr>
          <w:sz w:val="20"/>
          <w:szCs w:val="20"/>
        </w:rPr>
        <w:t xml:space="preserve">The measure cost is the sum of the equipment cost and the labor cost. </w:t>
      </w:r>
      <w:r w:rsidRPr="00EB538D">
        <w:rPr>
          <w:rFonts w:cs="Arial"/>
          <w:sz w:val="20"/>
          <w:szCs w:val="20"/>
        </w:rPr>
        <w:t>Because the nominal equipment costs have</w:t>
      </w:r>
      <w:r>
        <w:rPr>
          <w:rFonts w:cs="Arial"/>
          <w:sz w:val="20"/>
          <w:szCs w:val="20"/>
        </w:rPr>
        <w:t xml:space="preserve"> not changed in the DEER2014</w:t>
      </w:r>
      <w:r w:rsidRPr="00EB538D">
        <w:rPr>
          <w:rFonts w:cs="Arial"/>
          <w:sz w:val="20"/>
          <w:szCs w:val="20"/>
        </w:rPr>
        <w:t xml:space="preserve"> Updates, the nominal equipment cost was referenced from DEER2008 for 09-11 Planning/Reporting.</w:t>
      </w:r>
      <w:r w:rsidRPr="00EB538D">
        <w:rPr>
          <w:sz w:val="20"/>
          <w:szCs w:val="20"/>
        </w:rPr>
        <w:t xml:space="preserve"> The nominal equipment cost for both ER and NEW projects is $176.68.</w:t>
      </w:r>
      <w:r w:rsidRPr="00EB538D">
        <w:rPr>
          <w:sz w:val="20"/>
          <w:szCs w:val="20"/>
          <w:vertAlign w:val="superscript"/>
        </w:rPr>
        <w:fldChar w:fldCharType="begin"/>
      </w:r>
      <w:r w:rsidRPr="00EB538D">
        <w:rPr>
          <w:sz w:val="20"/>
          <w:szCs w:val="20"/>
          <w:vertAlign w:val="superscript"/>
        </w:rPr>
        <w:instrText xml:space="preserve"> NOTEREF _Ref324855887 \h  \* MERGEFORMAT </w:instrText>
      </w:r>
      <w:r w:rsidRPr="00EB538D">
        <w:rPr>
          <w:sz w:val="20"/>
          <w:szCs w:val="20"/>
          <w:vertAlign w:val="superscript"/>
        </w:rPr>
      </w:r>
      <w:r w:rsidRPr="00EB538D">
        <w:rPr>
          <w:sz w:val="20"/>
          <w:szCs w:val="20"/>
          <w:vertAlign w:val="superscript"/>
        </w:rPr>
        <w:fldChar w:fldCharType="separate"/>
      </w:r>
      <w:r w:rsidRPr="00EB538D">
        <w:rPr>
          <w:sz w:val="20"/>
          <w:szCs w:val="20"/>
          <w:vertAlign w:val="superscript"/>
        </w:rPr>
        <w:t>6</w:t>
      </w:r>
      <w:r w:rsidRPr="00EB538D">
        <w:rPr>
          <w:sz w:val="20"/>
          <w:szCs w:val="20"/>
          <w:vertAlign w:val="superscript"/>
        </w:rPr>
        <w:fldChar w:fldCharType="end"/>
      </w:r>
      <w:r>
        <w:rPr>
          <w:sz w:val="20"/>
          <w:szCs w:val="20"/>
        </w:rPr>
        <w:t xml:space="preserve"> </w:t>
      </w:r>
    </w:p>
    <w:p w14:paraId="1E5D695D" w14:textId="539FD7DB" w:rsidR="00EB538D" w:rsidRDefault="00EB538D" w:rsidP="00EB538D">
      <w:pPr>
        <w:rPr>
          <w:sz w:val="20"/>
          <w:szCs w:val="20"/>
        </w:rPr>
      </w:pPr>
      <w:r w:rsidRPr="00EB538D">
        <w:rPr>
          <w:sz w:val="20"/>
          <w:szCs w:val="20"/>
        </w:rPr>
        <w:t>The per-hour labor rates were updated in DEER2011. Under table n</w:t>
      </w:r>
      <w:r w:rsidR="005E0987">
        <w:rPr>
          <w:sz w:val="20"/>
          <w:szCs w:val="20"/>
        </w:rPr>
        <w:t>ame “</w:t>
      </w:r>
      <w:proofErr w:type="spellStart"/>
      <w:r w:rsidR="005E0987">
        <w:rPr>
          <w:sz w:val="20"/>
          <w:szCs w:val="20"/>
        </w:rPr>
        <w:t>LaborRate</w:t>
      </w:r>
      <w:proofErr w:type="spellEnd"/>
      <w:r w:rsidR="005E0987">
        <w:rPr>
          <w:sz w:val="20"/>
          <w:szCs w:val="20"/>
        </w:rPr>
        <w:t>” in the DEER2014</w:t>
      </w:r>
      <w:r w:rsidRPr="00EB538D">
        <w:rPr>
          <w:sz w:val="20"/>
          <w:szCs w:val="20"/>
        </w:rPr>
        <w:t xml:space="preserve"> database, the hourly labor rate for the installation of HVAC equipment is $67.88.</w:t>
      </w:r>
      <w:r w:rsidR="0058203D">
        <w:rPr>
          <w:sz w:val="20"/>
          <w:szCs w:val="20"/>
        </w:rPr>
        <w:fldChar w:fldCharType="begin"/>
      </w:r>
      <w:r w:rsidR="0058203D">
        <w:rPr>
          <w:sz w:val="20"/>
          <w:szCs w:val="20"/>
        </w:rPr>
        <w:instrText xml:space="preserve"> NOTEREF _Ref385602027 \f \h </w:instrText>
      </w:r>
      <w:r w:rsidR="0058203D">
        <w:rPr>
          <w:sz w:val="20"/>
          <w:szCs w:val="20"/>
        </w:rPr>
      </w:r>
      <w:r w:rsidR="0058203D">
        <w:rPr>
          <w:sz w:val="20"/>
          <w:szCs w:val="20"/>
        </w:rPr>
        <w:fldChar w:fldCharType="separate"/>
      </w:r>
      <w:r w:rsidR="0058203D" w:rsidRPr="0058203D">
        <w:rPr>
          <w:rStyle w:val="EndnoteReference"/>
        </w:rPr>
        <w:t>3</w:t>
      </w:r>
      <w:r w:rsidR="0058203D">
        <w:rPr>
          <w:sz w:val="20"/>
          <w:szCs w:val="20"/>
        </w:rPr>
        <w:fldChar w:fldCharType="end"/>
      </w:r>
      <w:r w:rsidRPr="00EB538D">
        <w:rPr>
          <w:sz w:val="20"/>
          <w:szCs w:val="20"/>
        </w:rPr>
        <w:t xml:space="preserve"> However, the labor cost needed to be normalized to a cost per horsepower (</w:t>
      </w:r>
      <w:proofErr w:type="spellStart"/>
      <w:r w:rsidRPr="00EB538D">
        <w:rPr>
          <w:sz w:val="20"/>
          <w:szCs w:val="20"/>
        </w:rPr>
        <w:t>hp</w:t>
      </w:r>
      <w:proofErr w:type="spellEnd"/>
      <w:r w:rsidRPr="00EB538D">
        <w:rPr>
          <w:sz w:val="20"/>
          <w:szCs w:val="20"/>
        </w:rPr>
        <w:t xml:space="preserve">) value. The average labor hours per VFD </w:t>
      </w:r>
      <w:proofErr w:type="spellStart"/>
      <w:r w:rsidRPr="00EB538D">
        <w:rPr>
          <w:sz w:val="20"/>
          <w:szCs w:val="20"/>
        </w:rPr>
        <w:t>hp</w:t>
      </w:r>
      <w:proofErr w:type="spellEnd"/>
      <w:r w:rsidRPr="00EB538D">
        <w:rPr>
          <w:sz w:val="20"/>
          <w:szCs w:val="20"/>
        </w:rPr>
        <w:t xml:space="preserve"> was estimated using the total labor hours</w:t>
      </w:r>
      <w:r w:rsidR="00571D19">
        <w:rPr>
          <w:sz w:val="20"/>
          <w:szCs w:val="20"/>
        </w:rPr>
        <w:t xml:space="preserve"> by VFD </w:t>
      </w:r>
      <w:proofErr w:type="spellStart"/>
      <w:r w:rsidR="00571D19">
        <w:rPr>
          <w:sz w:val="20"/>
          <w:szCs w:val="20"/>
        </w:rPr>
        <w:t>hp</w:t>
      </w:r>
      <w:proofErr w:type="spellEnd"/>
      <w:r w:rsidR="00571D19">
        <w:rPr>
          <w:sz w:val="20"/>
          <w:szCs w:val="20"/>
        </w:rPr>
        <w:t xml:space="preserve"> size provided in 2014</w:t>
      </w:r>
      <w:r w:rsidRPr="00EB538D">
        <w:rPr>
          <w:sz w:val="20"/>
          <w:szCs w:val="20"/>
        </w:rPr>
        <w:t xml:space="preserve"> RS Means Mechanical Cost Data.</w:t>
      </w:r>
      <w:r w:rsidRPr="00EB538D">
        <w:rPr>
          <w:sz w:val="20"/>
          <w:szCs w:val="20"/>
          <w:vertAlign w:val="superscript"/>
        </w:rPr>
        <w:fldChar w:fldCharType="begin"/>
      </w:r>
      <w:r w:rsidRPr="00EB538D">
        <w:rPr>
          <w:sz w:val="20"/>
          <w:szCs w:val="20"/>
          <w:vertAlign w:val="superscript"/>
        </w:rPr>
        <w:instrText xml:space="preserve"> NOTEREF _Ref327541162 \h  \* MERGEFORMAT </w:instrText>
      </w:r>
      <w:r w:rsidRPr="00EB538D">
        <w:rPr>
          <w:sz w:val="20"/>
          <w:szCs w:val="20"/>
          <w:vertAlign w:val="superscript"/>
        </w:rPr>
      </w:r>
      <w:r w:rsidRPr="00EB538D">
        <w:rPr>
          <w:sz w:val="20"/>
          <w:szCs w:val="20"/>
          <w:vertAlign w:val="superscript"/>
        </w:rPr>
        <w:fldChar w:fldCharType="separate"/>
      </w:r>
      <w:r w:rsidRPr="00EB538D">
        <w:rPr>
          <w:sz w:val="20"/>
          <w:szCs w:val="20"/>
          <w:vertAlign w:val="superscript"/>
        </w:rPr>
        <w:t>5</w:t>
      </w:r>
      <w:r w:rsidRPr="00EB538D">
        <w:rPr>
          <w:sz w:val="20"/>
          <w:szCs w:val="20"/>
          <w:vertAlign w:val="superscript"/>
        </w:rPr>
        <w:fldChar w:fldCharType="end"/>
      </w:r>
      <w:r w:rsidRPr="00EB538D">
        <w:rPr>
          <w:sz w:val="20"/>
          <w:szCs w:val="20"/>
        </w:rPr>
        <w:t xml:space="preserve"> By multiplying the average labor hours/</w:t>
      </w:r>
      <w:proofErr w:type="spellStart"/>
      <w:r w:rsidRPr="00EB538D">
        <w:rPr>
          <w:sz w:val="20"/>
          <w:szCs w:val="20"/>
        </w:rPr>
        <w:t>hp</w:t>
      </w:r>
      <w:proofErr w:type="spellEnd"/>
      <w:r w:rsidRPr="00EB538D">
        <w:rPr>
          <w:sz w:val="20"/>
          <w:szCs w:val="20"/>
        </w:rPr>
        <w:t xml:space="preserve"> by the labor cost/hour, the normalized labor cost/ VFD </w:t>
      </w:r>
      <w:proofErr w:type="spellStart"/>
      <w:r w:rsidRPr="00EB538D">
        <w:rPr>
          <w:sz w:val="20"/>
          <w:szCs w:val="20"/>
        </w:rPr>
        <w:t>hp</w:t>
      </w:r>
      <w:proofErr w:type="spellEnd"/>
      <w:r w:rsidRPr="00EB538D">
        <w:rPr>
          <w:sz w:val="20"/>
          <w:szCs w:val="20"/>
        </w:rPr>
        <w:t xml:space="preserve"> is </w:t>
      </w:r>
      <w:r w:rsidRPr="00EB538D">
        <w:rPr>
          <w:sz w:val="20"/>
          <w:szCs w:val="20"/>
        </w:rPr>
        <w:lastRenderedPageBreak/>
        <w:t xml:space="preserve">$84.94. </w:t>
      </w:r>
      <w:r w:rsidR="00571D19">
        <w:rPr>
          <w:sz w:val="20"/>
          <w:szCs w:val="20"/>
        </w:rPr>
        <w:t>Climate zone specific cost adjustment factors from the DEER2014 database are applied to the labor and equipment cost.</w:t>
      </w:r>
      <w:r w:rsidRPr="00EB538D">
        <w:rPr>
          <w:sz w:val="20"/>
          <w:szCs w:val="20"/>
        </w:rPr>
        <w:t xml:space="preserve"> </w:t>
      </w:r>
    </w:p>
    <w:p w14:paraId="53FFA653" w14:textId="77777777" w:rsidR="00A11BBD" w:rsidRDefault="00A11BBD" w:rsidP="00EB538D">
      <w:pPr>
        <w:rPr>
          <w:sz w:val="20"/>
          <w:szCs w:val="20"/>
        </w:rPr>
      </w:pPr>
    </w:p>
    <w:p w14:paraId="72DB657E" w14:textId="15FA8833" w:rsidR="00A11BBD" w:rsidRDefault="00A11BBD" w:rsidP="00EB538D">
      <w:pPr>
        <w:rPr>
          <w:sz w:val="20"/>
          <w:szCs w:val="20"/>
        </w:rPr>
      </w:pPr>
      <w:r>
        <w:rPr>
          <w:sz w:val="20"/>
          <w:szCs w:val="20"/>
        </w:rPr>
        <w:t>However, the DEER2014</w:t>
      </w:r>
      <w:r w:rsidRPr="00EB538D">
        <w:rPr>
          <w:sz w:val="20"/>
          <w:szCs w:val="20"/>
        </w:rPr>
        <w:t xml:space="preserve"> database includes cost adjustment factors for the DEER2008 values by climate zone.</w:t>
      </w:r>
      <w:r>
        <w:rPr>
          <w:sz w:val="20"/>
          <w:szCs w:val="20"/>
        </w:rPr>
        <w:fldChar w:fldCharType="begin"/>
      </w:r>
      <w:r>
        <w:rPr>
          <w:sz w:val="20"/>
          <w:szCs w:val="20"/>
        </w:rPr>
        <w:instrText xml:space="preserve"> NOTEREF _Ref327541127 \f \h </w:instrText>
      </w:r>
      <w:r>
        <w:rPr>
          <w:sz w:val="20"/>
          <w:szCs w:val="20"/>
        </w:rPr>
      </w:r>
      <w:r>
        <w:rPr>
          <w:sz w:val="20"/>
          <w:szCs w:val="20"/>
        </w:rPr>
        <w:fldChar w:fldCharType="separate"/>
      </w:r>
      <w:r w:rsidRPr="00680E6D">
        <w:rPr>
          <w:rStyle w:val="EndnoteReference"/>
        </w:rPr>
        <w:t>4</w:t>
      </w:r>
      <w:r>
        <w:rPr>
          <w:sz w:val="20"/>
          <w:szCs w:val="20"/>
        </w:rPr>
        <w:fldChar w:fldCharType="end"/>
      </w:r>
      <w:r w:rsidRPr="00EB538D">
        <w:rPr>
          <w:sz w:val="20"/>
          <w:szCs w:val="20"/>
        </w:rPr>
        <w:t xml:space="preserve"> All 16 clim</w:t>
      </w:r>
      <w:r>
        <w:rPr>
          <w:sz w:val="20"/>
          <w:szCs w:val="20"/>
        </w:rPr>
        <w:t xml:space="preserve">ate zones in California have </w:t>
      </w:r>
      <w:r w:rsidRPr="00EB538D">
        <w:rPr>
          <w:sz w:val="20"/>
          <w:szCs w:val="20"/>
        </w:rPr>
        <w:t xml:space="preserve">individual equipment </w:t>
      </w:r>
      <w:r>
        <w:rPr>
          <w:sz w:val="20"/>
          <w:szCs w:val="20"/>
        </w:rPr>
        <w:t xml:space="preserve">and labor </w:t>
      </w:r>
      <w:r w:rsidRPr="00EB538D">
        <w:rPr>
          <w:sz w:val="20"/>
          <w:szCs w:val="20"/>
        </w:rPr>
        <w:t>cost adjustment factor</w:t>
      </w:r>
      <w:r>
        <w:rPr>
          <w:sz w:val="20"/>
          <w:szCs w:val="20"/>
        </w:rPr>
        <w:t>s</w:t>
      </w:r>
      <w:r w:rsidRPr="00EB538D">
        <w:rPr>
          <w:sz w:val="20"/>
          <w:szCs w:val="20"/>
        </w:rPr>
        <w:t>.</w:t>
      </w:r>
      <w:r>
        <w:rPr>
          <w:sz w:val="20"/>
          <w:szCs w:val="20"/>
        </w:rPr>
        <w:t xml:space="preserve"> The appropriate cost adjustment factors were applied to the equipment and labor costs described above.</w:t>
      </w:r>
      <w:r w:rsidRPr="00EB538D">
        <w:rPr>
          <w:sz w:val="20"/>
          <w:szCs w:val="20"/>
        </w:rPr>
        <w:t xml:space="preserve"> </w:t>
      </w:r>
    </w:p>
    <w:p w14:paraId="65036921" w14:textId="77777777" w:rsidR="00EB538D" w:rsidRDefault="00EB538D" w:rsidP="00EB538D">
      <w:pPr>
        <w:rPr>
          <w:rFonts w:cs="Arial"/>
          <w:sz w:val="20"/>
          <w:szCs w:val="20"/>
        </w:rPr>
      </w:pPr>
    </w:p>
    <w:p w14:paraId="393A1116" w14:textId="73DE7109" w:rsidR="00DD1C47" w:rsidRPr="00DD1C47" w:rsidRDefault="00DD1C47" w:rsidP="00DD1C47">
      <w:pPr>
        <w:rPr>
          <w:rFonts w:cs="Arial"/>
          <w:sz w:val="20"/>
          <w:szCs w:val="20"/>
        </w:rPr>
      </w:pPr>
      <w:r w:rsidRPr="00B16BE4">
        <w:rPr>
          <w:rFonts w:cs="Arial"/>
          <w:sz w:val="20"/>
          <w:szCs w:val="20"/>
        </w:rPr>
        <w:t xml:space="preserve">The following </w:t>
      </w:r>
      <w:r w:rsidR="00A11BBD">
        <w:rPr>
          <w:rFonts w:cs="Arial"/>
          <w:sz w:val="20"/>
          <w:szCs w:val="20"/>
        </w:rPr>
        <w:t>Measure Application Type</w:t>
      </w:r>
      <w:r w:rsidR="00FA6B9F">
        <w:rPr>
          <w:rFonts w:cs="Arial"/>
          <w:sz w:val="20"/>
          <w:szCs w:val="20"/>
        </w:rPr>
        <w:t xml:space="preserve"> is</w:t>
      </w:r>
      <w:r>
        <w:rPr>
          <w:rFonts w:cs="Arial"/>
          <w:sz w:val="20"/>
          <w:szCs w:val="20"/>
        </w:rPr>
        <w:t xml:space="preserve"> appropriate to </w:t>
      </w:r>
      <w:r w:rsidR="00FA6B9F">
        <w:rPr>
          <w:rFonts w:cs="Arial"/>
          <w:sz w:val="20"/>
          <w:szCs w:val="20"/>
        </w:rPr>
        <w:t>this measure</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p>
    <w:p w14:paraId="393A1117" w14:textId="77777777" w:rsidR="00DD1C47"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350"/>
        <w:gridCol w:w="1440"/>
        <w:gridCol w:w="1440"/>
        <w:gridCol w:w="1530"/>
        <w:gridCol w:w="1368"/>
      </w:tblGrid>
      <w:tr w:rsidR="00DD1C47" w:rsidRPr="00A01631" w14:paraId="393A111F" w14:textId="77777777" w:rsidTr="00FA6B9F">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35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440"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30"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368"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FA6B9F">
        <w:tc>
          <w:tcPr>
            <w:tcW w:w="1028" w:type="dxa"/>
            <w:shd w:val="clear" w:color="auto" w:fill="auto"/>
          </w:tcPr>
          <w:p w14:paraId="393A1120" w14:textId="5F08D082" w:rsidR="00DD1C47" w:rsidRPr="00A01631" w:rsidRDefault="00C63DEC" w:rsidP="003F57BD">
            <w:pPr>
              <w:rPr>
                <w:rFonts w:cs="Arial"/>
                <w:sz w:val="20"/>
                <w:szCs w:val="20"/>
              </w:rPr>
            </w:pPr>
            <w:r>
              <w:rPr>
                <w:rFonts w:cs="Arial"/>
                <w:sz w:val="20"/>
                <w:szCs w:val="20"/>
              </w:rPr>
              <w:t>H148</w:t>
            </w:r>
          </w:p>
        </w:tc>
        <w:tc>
          <w:tcPr>
            <w:tcW w:w="1420" w:type="dxa"/>
            <w:shd w:val="clear" w:color="auto" w:fill="auto"/>
          </w:tcPr>
          <w:p w14:paraId="393A1121" w14:textId="3D10DFF0" w:rsidR="00DD1C47" w:rsidRPr="00A01631" w:rsidRDefault="00C63DEC" w:rsidP="004B3AFA">
            <w:pPr>
              <w:rPr>
                <w:rFonts w:cs="Arial"/>
                <w:sz w:val="20"/>
                <w:szCs w:val="20"/>
              </w:rPr>
            </w:pPr>
            <w:r>
              <w:rPr>
                <w:rFonts w:cs="Arial"/>
                <w:sz w:val="20"/>
                <w:szCs w:val="20"/>
              </w:rPr>
              <w:t>R</w:t>
            </w:r>
            <w:r w:rsidR="004B3AFA">
              <w:rPr>
                <w:rFonts w:cs="Arial"/>
                <w:sz w:val="20"/>
                <w:szCs w:val="20"/>
              </w:rPr>
              <w:t>EA</w:t>
            </w:r>
          </w:p>
        </w:tc>
        <w:tc>
          <w:tcPr>
            <w:tcW w:w="1350" w:type="dxa"/>
            <w:shd w:val="clear" w:color="auto" w:fill="auto"/>
          </w:tcPr>
          <w:p w14:paraId="393A1122" w14:textId="1784DC6C" w:rsidR="00DD1C47" w:rsidRPr="00A01631" w:rsidRDefault="00DD1C47" w:rsidP="00C63DEC">
            <w:pPr>
              <w:rPr>
                <w:rFonts w:cs="Arial"/>
                <w:sz w:val="20"/>
                <w:szCs w:val="20"/>
              </w:rPr>
            </w:pPr>
            <w:r w:rsidRPr="00C63DEC">
              <w:rPr>
                <w:rFonts w:cs="Arial"/>
                <w:sz w:val="20"/>
                <w:szCs w:val="20"/>
              </w:rPr>
              <w:t xml:space="preserve">Code </w:t>
            </w:r>
          </w:p>
        </w:tc>
        <w:tc>
          <w:tcPr>
            <w:tcW w:w="1440" w:type="dxa"/>
            <w:shd w:val="clear" w:color="auto" w:fill="auto"/>
          </w:tcPr>
          <w:p w14:paraId="393A1123" w14:textId="4ACDFEBF" w:rsidR="00DD1C47" w:rsidRPr="00A01631" w:rsidRDefault="006A2E94" w:rsidP="003F57BD">
            <w:pPr>
              <w:rPr>
                <w:rFonts w:cs="Arial"/>
                <w:sz w:val="20"/>
                <w:szCs w:val="20"/>
              </w:rPr>
            </w:pPr>
            <w:r>
              <w:rPr>
                <w:rFonts w:cs="Arial"/>
                <w:sz w:val="20"/>
                <w:szCs w:val="20"/>
              </w:rPr>
              <w:t>$176.68 (</w:t>
            </w:r>
            <w:r w:rsidR="00FA6B9F">
              <w:rPr>
                <w:rFonts w:cs="Arial"/>
                <w:sz w:val="20"/>
                <w:szCs w:val="20"/>
              </w:rPr>
              <w:t>Varies by climate zone</w:t>
            </w:r>
            <w:r>
              <w:rPr>
                <w:rFonts w:cs="Arial"/>
                <w:sz w:val="20"/>
                <w:szCs w:val="20"/>
              </w:rPr>
              <w:t>)</w:t>
            </w:r>
          </w:p>
        </w:tc>
        <w:tc>
          <w:tcPr>
            <w:tcW w:w="1440" w:type="dxa"/>
            <w:shd w:val="clear" w:color="auto" w:fill="auto"/>
          </w:tcPr>
          <w:p w14:paraId="393A1124" w14:textId="7351F000" w:rsidR="00DD1C47" w:rsidRPr="00A01631" w:rsidRDefault="006A2E94" w:rsidP="003F57BD">
            <w:pPr>
              <w:rPr>
                <w:rFonts w:cs="Arial"/>
                <w:sz w:val="20"/>
                <w:szCs w:val="20"/>
              </w:rPr>
            </w:pPr>
            <w:r>
              <w:rPr>
                <w:rFonts w:cs="Arial"/>
                <w:sz w:val="20"/>
                <w:szCs w:val="20"/>
              </w:rPr>
              <w:t>$84.94 (</w:t>
            </w:r>
            <w:r w:rsidR="00FA6B9F">
              <w:rPr>
                <w:rFonts w:cs="Arial"/>
                <w:sz w:val="20"/>
                <w:szCs w:val="20"/>
              </w:rPr>
              <w:t>Varies by climate zone</w:t>
            </w:r>
            <w:r>
              <w:rPr>
                <w:rFonts w:cs="Arial"/>
                <w:sz w:val="20"/>
                <w:szCs w:val="20"/>
              </w:rPr>
              <w:t>)</w:t>
            </w:r>
          </w:p>
        </w:tc>
        <w:tc>
          <w:tcPr>
            <w:tcW w:w="1530" w:type="dxa"/>
            <w:shd w:val="clear" w:color="auto" w:fill="auto"/>
          </w:tcPr>
          <w:p w14:paraId="393A1125" w14:textId="60EBECF2" w:rsidR="00DD1C47" w:rsidRPr="00A01631" w:rsidRDefault="00DD1C47" w:rsidP="003F57BD">
            <w:pPr>
              <w:rPr>
                <w:rFonts w:cs="Arial"/>
                <w:sz w:val="20"/>
                <w:szCs w:val="20"/>
              </w:rPr>
            </w:pPr>
            <w:r w:rsidRPr="00A01631">
              <w:rPr>
                <w:rFonts w:cs="Arial"/>
                <w:sz w:val="20"/>
                <w:szCs w:val="20"/>
              </w:rPr>
              <w:t>$</w:t>
            </w:r>
            <w:r w:rsidR="00C63DEC">
              <w:rPr>
                <w:rFonts w:cs="Arial"/>
                <w:sz w:val="20"/>
                <w:szCs w:val="20"/>
              </w:rPr>
              <w:t>0</w:t>
            </w:r>
            <w:r w:rsidR="006A2E94">
              <w:rPr>
                <w:rFonts w:cs="Arial"/>
                <w:sz w:val="20"/>
                <w:szCs w:val="20"/>
              </w:rPr>
              <w:t>.00</w:t>
            </w:r>
          </w:p>
        </w:tc>
        <w:tc>
          <w:tcPr>
            <w:tcW w:w="1368" w:type="dxa"/>
            <w:shd w:val="clear" w:color="auto" w:fill="auto"/>
          </w:tcPr>
          <w:p w14:paraId="393A1126" w14:textId="71E95F89" w:rsidR="00DD1C47" w:rsidRPr="00A01631" w:rsidRDefault="006A2E94" w:rsidP="003F57BD">
            <w:pPr>
              <w:rPr>
                <w:rFonts w:cs="Arial"/>
                <w:sz w:val="20"/>
                <w:szCs w:val="20"/>
              </w:rPr>
            </w:pPr>
            <w:r>
              <w:rPr>
                <w:rFonts w:cs="Arial"/>
                <w:sz w:val="20"/>
                <w:szCs w:val="20"/>
              </w:rPr>
              <w:t>$261.62 (</w:t>
            </w:r>
            <w:r w:rsidR="00FA6B9F">
              <w:rPr>
                <w:rFonts w:cs="Arial"/>
                <w:sz w:val="20"/>
                <w:szCs w:val="20"/>
              </w:rPr>
              <w:t>Varies by climate zone</w:t>
            </w:r>
            <w:r>
              <w:rPr>
                <w:rFonts w:cs="Arial"/>
                <w:sz w:val="20"/>
                <w:szCs w:val="20"/>
              </w:rPr>
              <w:t>)</w:t>
            </w:r>
          </w:p>
        </w:tc>
      </w:tr>
    </w:tbl>
    <w:p w14:paraId="393A113B" w14:textId="38A45B10" w:rsidR="00DD1C47" w:rsidRPr="00C13301" w:rsidRDefault="00DD1C47" w:rsidP="00F55847">
      <w:pPr>
        <w:rPr>
          <w:rFonts w:cs="Arial"/>
          <w:i/>
          <w:sz w:val="20"/>
          <w:szCs w:val="20"/>
        </w:rPr>
      </w:pPr>
      <w:r w:rsidRPr="00DD1C47">
        <w:rPr>
          <w:rFonts w:cs="Arial"/>
          <w:i/>
          <w:sz w:val="20"/>
          <w:szCs w:val="20"/>
        </w:rPr>
        <w:t>All costs</w:t>
      </w:r>
      <w:r w:rsidR="006A2E94">
        <w:rPr>
          <w:rFonts w:cs="Arial"/>
          <w:i/>
          <w:sz w:val="20"/>
          <w:szCs w:val="20"/>
        </w:rPr>
        <w:t xml:space="preserve"> are noted as $ per VFD hp.</w:t>
      </w:r>
    </w:p>
    <w:p w14:paraId="393A113C" w14:textId="77777777" w:rsidR="0030550A" w:rsidRDefault="0030550A" w:rsidP="002E0043">
      <w:pPr>
        <w:pStyle w:val="Heading2"/>
        <w:keepNext w:val="0"/>
      </w:pPr>
      <w:bookmarkStart w:id="139" w:name="_Toc304800220"/>
      <w:bookmarkStart w:id="140" w:name="_Toc324318374"/>
      <w:bookmarkStart w:id="141" w:name="_Toc324340503"/>
      <w:bookmarkStart w:id="142" w:name="_Toc386699732"/>
      <w:r>
        <w:t>4.3 Incremental &amp; Full Measure Costs</w:t>
      </w:r>
      <w:bookmarkEnd w:id="139"/>
      <w:bookmarkEnd w:id="140"/>
      <w:bookmarkEnd w:id="141"/>
      <w:bookmarkEnd w:id="142"/>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4B3AFA" w:rsidRPr="003F57BD" w14:paraId="05CC8830" w14:textId="77777777" w:rsidTr="00073A54">
        <w:trPr>
          <w:trHeight w:val="255"/>
        </w:trPr>
        <w:tc>
          <w:tcPr>
            <w:tcW w:w="1305" w:type="dxa"/>
            <w:shd w:val="clear" w:color="auto" w:fill="0D0D0D"/>
            <w:noWrap/>
            <w:vAlign w:val="bottom"/>
          </w:tcPr>
          <w:p w14:paraId="2ADC9578" w14:textId="77777777" w:rsidR="004B3AFA" w:rsidRPr="00623BA1" w:rsidRDefault="004B3AFA" w:rsidP="00073A54">
            <w:pPr>
              <w:jc w:val="center"/>
              <w:rPr>
                <w:rFonts w:cs="Arial"/>
                <w:b/>
                <w:sz w:val="20"/>
                <w:szCs w:val="20"/>
              </w:rPr>
            </w:pPr>
            <w:bookmarkStart w:id="143" w:name="_Toc324318375"/>
            <w:bookmarkStart w:id="144" w:name="_Toc324340504"/>
            <w:bookmarkStart w:id="145" w:name="_Toc386699733"/>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14:paraId="6B5EF575" w14:textId="77777777" w:rsidR="004B3AFA" w:rsidRPr="00623BA1" w:rsidRDefault="004B3AFA" w:rsidP="00073A54">
            <w:pPr>
              <w:jc w:val="center"/>
              <w:rPr>
                <w:rFonts w:cs="Arial"/>
                <w:b/>
                <w:sz w:val="20"/>
                <w:szCs w:val="20"/>
              </w:rPr>
            </w:pPr>
            <w:r>
              <w:rPr>
                <w:rFonts w:cs="Arial"/>
                <w:b/>
                <w:sz w:val="20"/>
                <w:szCs w:val="20"/>
              </w:rPr>
              <w:t>Full</w:t>
            </w:r>
            <w:r w:rsidRPr="00623BA1">
              <w:rPr>
                <w:rFonts w:cs="Arial"/>
                <w:b/>
                <w:sz w:val="20"/>
                <w:szCs w:val="20"/>
              </w:rPr>
              <w:t xml:space="preserve"> Measure Cost</w:t>
            </w:r>
          </w:p>
          <w:p w14:paraId="34FB73AE" w14:textId="77777777" w:rsidR="004B3AFA" w:rsidRPr="00623BA1" w:rsidRDefault="004B3AFA" w:rsidP="00073A54">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2D919C86" w14:textId="77777777" w:rsidR="004B3AFA" w:rsidRPr="00623BA1" w:rsidRDefault="004B3AFA" w:rsidP="00073A54">
            <w:pPr>
              <w:jc w:val="center"/>
              <w:rPr>
                <w:rFonts w:cs="Arial"/>
                <w:b/>
                <w:sz w:val="20"/>
                <w:szCs w:val="20"/>
              </w:rPr>
            </w:pPr>
            <w:r>
              <w:rPr>
                <w:rFonts w:cs="Arial"/>
                <w:b/>
                <w:sz w:val="20"/>
                <w:szCs w:val="20"/>
              </w:rPr>
              <w:t>Full</w:t>
            </w:r>
            <w:r w:rsidRPr="00623BA1">
              <w:rPr>
                <w:rFonts w:cs="Arial"/>
                <w:b/>
                <w:sz w:val="20"/>
                <w:szCs w:val="20"/>
              </w:rPr>
              <w:t xml:space="preserve"> Measure Cost</w:t>
            </w:r>
          </w:p>
          <w:p w14:paraId="462E9101" w14:textId="77777777" w:rsidR="004B3AFA" w:rsidRPr="00623BA1" w:rsidRDefault="004B3AFA" w:rsidP="00073A54">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037DA26B" w14:textId="77777777" w:rsidR="004B3AFA" w:rsidRPr="00623BA1" w:rsidRDefault="004B3AFA" w:rsidP="00073A54">
            <w:pPr>
              <w:jc w:val="center"/>
              <w:rPr>
                <w:rFonts w:cs="Arial"/>
                <w:b/>
                <w:sz w:val="20"/>
                <w:szCs w:val="20"/>
              </w:rPr>
            </w:pPr>
            <w:r w:rsidRPr="00623BA1">
              <w:rPr>
                <w:rFonts w:cs="Arial"/>
                <w:b/>
                <w:sz w:val="20"/>
                <w:szCs w:val="20"/>
              </w:rPr>
              <w:t>Incremental Measure Cost</w:t>
            </w:r>
          </w:p>
        </w:tc>
      </w:tr>
      <w:tr w:rsidR="004B3AFA" w:rsidRPr="003F57BD" w14:paraId="4BD8EA2E" w14:textId="77777777" w:rsidTr="00073A54">
        <w:trPr>
          <w:trHeight w:val="255"/>
        </w:trPr>
        <w:tc>
          <w:tcPr>
            <w:tcW w:w="1305" w:type="dxa"/>
            <w:shd w:val="pct20" w:color="000000" w:fill="FFFFFF"/>
            <w:noWrap/>
            <w:vAlign w:val="bottom"/>
          </w:tcPr>
          <w:p w14:paraId="12915E73" w14:textId="77777777" w:rsidR="004B3AFA" w:rsidRPr="00623BA1" w:rsidRDefault="004B3AFA" w:rsidP="00073A54">
            <w:pPr>
              <w:jc w:val="center"/>
              <w:rPr>
                <w:rFonts w:cs="Arial"/>
                <w:sz w:val="20"/>
                <w:szCs w:val="20"/>
              </w:rPr>
            </w:pPr>
            <w:r w:rsidRPr="00623BA1">
              <w:rPr>
                <w:rFonts w:cs="Arial"/>
                <w:sz w:val="20"/>
                <w:szCs w:val="20"/>
              </w:rPr>
              <w:t>ER</w:t>
            </w:r>
          </w:p>
        </w:tc>
        <w:tc>
          <w:tcPr>
            <w:tcW w:w="3213" w:type="dxa"/>
            <w:shd w:val="pct20" w:color="000000" w:fill="FFFFFF"/>
            <w:vAlign w:val="bottom"/>
          </w:tcPr>
          <w:p w14:paraId="6DE1206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70A57D03" w14:textId="77777777" w:rsidR="004B3AFA" w:rsidRPr="00623BA1" w:rsidRDefault="004B3AFA" w:rsidP="00073A54">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17B9DBB2" w14:textId="77777777" w:rsidR="004B3AFA" w:rsidRPr="00623BA1" w:rsidRDefault="004B3AFA" w:rsidP="00073A54">
            <w:pPr>
              <w:jc w:val="center"/>
              <w:rPr>
                <w:rFonts w:cs="Arial"/>
                <w:sz w:val="20"/>
                <w:szCs w:val="20"/>
              </w:rPr>
            </w:pPr>
            <w:r w:rsidRPr="00623BA1">
              <w:rPr>
                <w:rFonts w:cs="Arial"/>
                <w:sz w:val="20"/>
                <w:szCs w:val="20"/>
              </w:rPr>
              <w:t>(-1)x(Base Equipment Cost</w:t>
            </w:r>
          </w:p>
          <w:p w14:paraId="502DFC07" w14:textId="77777777" w:rsidR="004B3AFA" w:rsidRPr="00623BA1" w:rsidRDefault="004B3AFA" w:rsidP="00073A54">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0F2A7382"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A9E0955"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695959CE" w14:textId="77777777" w:rsidTr="00073A54">
        <w:trPr>
          <w:trHeight w:val="170"/>
        </w:trPr>
        <w:tc>
          <w:tcPr>
            <w:tcW w:w="1305" w:type="dxa"/>
            <w:shd w:val="pct5" w:color="000000" w:fill="FFFFFF"/>
            <w:noWrap/>
            <w:vAlign w:val="bottom"/>
          </w:tcPr>
          <w:p w14:paraId="5B9CBA8E" w14:textId="77777777" w:rsidR="004B3AFA" w:rsidRPr="00623BA1" w:rsidRDefault="004B3AFA" w:rsidP="00073A54">
            <w:pPr>
              <w:jc w:val="center"/>
              <w:rPr>
                <w:rFonts w:cs="Arial"/>
                <w:sz w:val="20"/>
                <w:szCs w:val="20"/>
              </w:rPr>
            </w:pPr>
            <w:r w:rsidRPr="00623BA1">
              <w:rPr>
                <w:rFonts w:cs="Arial"/>
                <w:sz w:val="20"/>
                <w:szCs w:val="20"/>
              </w:rPr>
              <w:t>ROB</w:t>
            </w:r>
          </w:p>
        </w:tc>
        <w:tc>
          <w:tcPr>
            <w:tcW w:w="3213" w:type="dxa"/>
            <w:shd w:val="pct5" w:color="000000" w:fill="FFFFFF"/>
            <w:vAlign w:val="bottom"/>
          </w:tcPr>
          <w:p w14:paraId="26ADBD3E"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7241BD53"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5F091622"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shd w:val="pct5" w:color="000000" w:fill="FFFFFF"/>
            <w:vAlign w:val="bottom"/>
          </w:tcPr>
          <w:p w14:paraId="7AA2EF4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57C2DB06"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15F778BF" w14:textId="77777777" w:rsidTr="00073A54">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23D731DE" w14:textId="77777777" w:rsidR="004B3AFA" w:rsidRPr="00623BA1" w:rsidRDefault="004B3AFA" w:rsidP="00073A54">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1A0D90F"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2B3CBE5"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26A1F9EB"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2EFD6B2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4B04E5FA"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097A754B" w14:textId="77777777" w:rsidTr="00073A54">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51DFF175" w14:textId="77777777" w:rsidR="004B3AFA" w:rsidRDefault="004B3AFA" w:rsidP="00073A54">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73EE694"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32083C5"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716C0BC2"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590C0098"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3C7FAF72"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bl>
    <w:p w14:paraId="393A115B" w14:textId="3BC8AED4" w:rsidR="001E4C31" w:rsidRPr="001E4C31" w:rsidRDefault="003F57BD" w:rsidP="001E4C31">
      <w:pPr>
        <w:pStyle w:val="Heading1"/>
        <w:rPr>
          <w:i/>
        </w:rPr>
      </w:pPr>
      <w:r w:rsidRPr="003F57BD">
        <w:rPr>
          <w:i/>
        </w:rPr>
        <w:t xml:space="preserve">4.3.1 </w:t>
      </w:r>
      <w:r w:rsidR="00C63DEC">
        <w:rPr>
          <w:i/>
        </w:rPr>
        <w:t xml:space="preserve">Full </w:t>
      </w:r>
      <w:r w:rsidRPr="003F57BD">
        <w:rPr>
          <w:i/>
        </w:rPr>
        <w:t>Measure Cost</w:t>
      </w:r>
      <w:bookmarkEnd w:id="143"/>
      <w:bookmarkEnd w:id="144"/>
      <w:bookmarkEnd w:id="145"/>
    </w:p>
    <w:p w14:paraId="393A1168" w14:textId="7CE3ED68" w:rsidR="00F32479" w:rsidRPr="00FA6B9F" w:rsidRDefault="003F57BD" w:rsidP="00FA6B9F">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r w:rsidR="00FA6B9F">
        <w:rPr>
          <w:rFonts w:cs="Arial"/>
          <w:sz w:val="20"/>
          <w:szCs w:val="20"/>
        </w:rPr>
        <w:t>Due to the climate zone cost adjustment factors listed in the DEER2014 database, the full measure cost fluctuates for each climate zone.</w:t>
      </w:r>
    </w:p>
    <w:p w14:paraId="393A1169" w14:textId="77777777" w:rsidR="00F32479" w:rsidRDefault="00F32479" w:rsidP="003F57BD">
      <w:pPr>
        <w:rPr>
          <w:rFonts w:cs="Arial"/>
          <w:b/>
          <w:sz w:val="20"/>
          <w:szCs w:val="20"/>
          <w:highlight w:val="cyan"/>
        </w:rPr>
      </w:pPr>
    </w:p>
    <w:p w14:paraId="393A117D" w14:textId="77777777" w:rsidR="00A47BFE" w:rsidRDefault="001E4C31" w:rsidP="001E4C31">
      <w:pPr>
        <w:pStyle w:val="Heading1"/>
        <w:rPr>
          <w:i/>
        </w:rPr>
      </w:pPr>
      <w:bookmarkStart w:id="146" w:name="_Toc324318376"/>
      <w:bookmarkStart w:id="147" w:name="_Toc324340505"/>
      <w:bookmarkStart w:id="148" w:name="_Toc386699734"/>
      <w:bookmarkStart w:id="149" w:name="_Toc304800221"/>
      <w:r>
        <w:rPr>
          <w:i/>
        </w:rPr>
        <w:t xml:space="preserve">4.3.2 </w:t>
      </w:r>
      <w:r w:rsidR="00A47BFE" w:rsidRPr="00A47BFE">
        <w:rPr>
          <w:i/>
        </w:rPr>
        <w:t>Incremental Measure Costs</w:t>
      </w:r>
      <w:bookmarkEnd w:id="146"/>
      <w:bookmarkEnd w:id="147"/>
      <w:bookmarkEnd w:id="148"/>
    </w:p>
    <w:p w14:paraId="393A1193" w14:textId="205A8129" w:rsidR="002F3610" w:rsidRPr="00FA6B9F" w:rsidRDefault="00ED3B31" w:rsidP="00FA6B9F">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00FA6B9F">
        <w:rPr>
          <w:rFonts w:cs="Arial"/>
          <w:sz w:val="20"/>
          <w:szCs w:val="20"/>
        </w:rPr>
        <w:t>Due to the climate zone cost adjustment factors listed in the DEER2014 database, the incremental measure cost fluctuates for each climate zone.</w:t>
      </w:r>
    </w:p>
    <w:p w14:paraId="393A1194" w14:textId="77777777" w:rsidR="002F3610" w:rsidRDefault="002F3610" w:rsidP="00ED3B31">
      <w:pPr>
        <w:ind w:firstLine="720"/>
        <w:rPr>
          <w:rFonts w:cs="Arial"/>
          <w:i/>
          <w:sz w:val="20"/>
          <w:szCs w:val="20"/>
        </w:rPr>
      </w:pPr>
    </w:p>
    <w:p w14:paraId="393A1195" w14:textId="77777777"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1596"/>
        <w:gridCol w:w="1596"/>
        <w:gridCol w:w="1596"/>
        <w:gridCol w:w="1596"/>
        <w:gridCol w:w="1596"/>
      </w:tblGrid>
      <w:tr w:rsidR="002F3610" w:rsidRPr="00A01631" w14:paraId="393A119C" w14:textId="77777777" w:rsidTr="006A2E94">
        <w:tc>
          <w:tcPr>
            <w:tcW w:w="833"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833"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3"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833"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12"/>
            </w:r>
          </w:p>
        </w:tc>
        <w:tc>
          <w:tcPr>
            <w:tcW w:w="833" w:type="pct"/>
            <w:shd w:val="clear" w:color="auto" w:fill="auto"/>
          </w:tcPr>
          <w:p w14:paraId="393A119A" w14:textId="53E5D146" w:rsidR="002F3610" w:rsidRPr="00A01631" w:rsidRDefault="006A2E94"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833"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6A2E94" w:rsidRPr="00A01631" w14:paraId="393A11A3" w14:textId="77777777" w:rsidTr="006A2E94">
        <w:tc>
          <w:tcPr>
            <w:tcW w:w="833" w:type="pct"/>
            <w:shd w:val="clear" w:color="auto" w:fill="auto"/>
          </w:tcPr>
          <w:p w14:paraId="393A119D" w14:textId="4B19D00B" w:rsidR="006A2E94" w:rsidRPr="00FA6B9F" w:rsidRDefault="006A2E94" w:rsidP="002F3610">
            <w:pPr>
              <w:rPr>
                <w:rFonts w:cs="Arial"/>
                <w:sz w:val="20"/>
                <w:szCs w:val="20"/>
              </w:rPr>
            </w:pPr>
            <w:r w:rsidRPr="00FA6B9F">
              <w:rPr>
                <w:rFonts w:cs="Arial"/>
                <w:sz w:val="20"/>
                <w:szCs w:val="20"/>
              </w:rPr>
              <w:t>H148</w:t>
            </w:r>
          </w:p>
        </w:tc>
        <w:tc>
          <w:tcPr>
            <w:tcW w:w="833" w:type="pct"/>
            <w:shd w:val="clear" w:color="auto" w:fill="auto"/>
          </w:tcPr>
          <w:p w14:paraId="393A119E" w14:textId="27183FD3" w:rsidR="006A2E94" w:rsidRPr="00A01631" w:rsidRDefault="004B3AFA" w:rsidP="002F3610">
            <w:pPr>
              <w:rPr>
                <w:rFonts w:cs="Arial"/>
                <w:b/>
                <w:sz w:val="20"/>
                <w:szCs w:val="20"/>
              </w:rPr>
            </w:pPr>
            <w:r>
              <w:rPr>
                <w:rFonts w:cs="Arial"/>
                <w:sz w:val="20"/>
                <w:szCs w:val="20"/>
              </w:rPr>
              <w:t>REA</w:t>
            </w:r>
          </w:p>
        </w:tc>
        <w:tc>
          <w:tcPr>
            <w:tcW w:w="833" w:type="pct"/>
            <w:shd w:val="clear" w:color="auto" w:fill="auto"/>
          </w:tcPr>
          <w:p w14:paraId="393A119F" w14:textId="6564A3C7" w:rsidR="006A2E94" w:rsidRPr="00FA6B9F" w:rsidRDefault="006A2E94" w:rsidP="002F3610">
            <w:pPr>
              <w:rPr>
                <w:rFonts w:cs="Arial"/>
                <w:sz w:val="20"/>
                <w:szCs w:val="20"/>
              </w:rPr>
            </w:pPr>
            <w:r>
              <w:rPr>
                <w:rFonts w:cs="Arial"/>
                <w:sz w:val="20"/>
                <w:szCs w:val="20"/>
              </w:rPr>
              <w:t>$0.00</w:t>
            </w:r>
          </w:p>
        </w:tc>
        <w:tc>
          <w:tcPr>
            <w:tcW w:w="833" w:type="pct"/>
            <w:shd w:val="clear" w:color="auto" w:fill="auto"/>
          </w:tcPr>
          <w:p w14:paraId="393A11A0" w14:textId="61FA7039" w:rsidR="006A2E94" w:rsidRPr="00FA6B9F" w:rsidRDefault="006A2E94" w:rsidP="006A2E94">
            <w:pPr>
              <w:rPr>
                <w:rFonts w:cs="Arial"/>
                <w:sz w:val="20"/>
                <w:szCs w:val="20"/>
              </w:rPr>
            </w:pPr>
            <w:r>
              <w:rPr>
                <w:rFonts w:cs="Arial"/>
                <w:sz w:val="20"/>
                <w:szCs w:val="20"/>
              </w:rPr>
              <w:t>$261.62 (</w:t>
            </w:r>
            <w:r w:rsidRPr="00FA6B9F">
              <w:rPr>
                <w:rFonts w:cs="Arial"/>
                <w:sz w:val="20"/>
                <w:szCs w:val="20"/>
              </w:rPr>
              <w:t>Varies by climate zone</w:t>
            </w:r>
            <w:r>
              <w:rPr>
                <w:rFonts w:cs="Arial"/>
                <w:sz w:val="20"/>
                <w:szCs w:val="20"/>
              </w:rPr>
              <w:t>)</w:t>
            </w:r>
          </w:p>
        </w:tc>
        <w:tc>
          <w:tcPr>
            <w:tcW w:w="833" w:type="pct"/>
            <w:shd w:val="clear" w:color="auto" w:fill="auto"/>
          </w:tcPr>
          <w:p w14:paraId="393A11A1" w14:textId="3DAC8607" w:rsidR="006A2E94" w:rsidRPr="00FA6B9F" w:rsidRDefault="006A2E94" w:rsidP="002F3610">
            <w:pPr>
              <w:rPr>
                <w:rFonts w:cs="Arial"/>
                <w:sz w:val="20"/>
                <w:szCs w:val="20"/>
              </w:rPr>
            </w:pPr>
            <w:r>
              <w:rPr>
                <w:rFonts w:cs="Arial"/>
                <w:sz w:val="20"/>
                <w:szCs w:val="20"/>
              </w:rPr>
              <w:t>$261.62 (</w:t>
            </w:r>
            <w:r w:rsidRPr="00FA6B9F">
              <w:rPr>
                <w:rFonts w:cs="Arial"/>
                <w:sz w:val="20"/>
                <w:szCs w:val="20"/>
              </w:rPr>
              <w:t>Varies by climate zone</w:t>
            </w:r>
            <w:r>
              <w:rPr>
                <w:rFonts w:cs="Arial"/>
                <w:sz w:val="20"/>
                <w:szCs w:val="20"/>
              </w:rPr>
              <w:t>)</w:t>
            </w:r>
          </w:p>
        </w:tc>
        <w:tc>
          <w:tcPr>
            <w:tcW w:w="833" w:type="pct"/>
            <w:shd w:val="clear" w:color="auto" w:fill="auto"/>
          </w:tcPr>
          <w:p w14:paraId="393A11A2" w14:textId="1D2130A6" w:rsidR="006A2E94" w:rsidRPr="00FA6B9F" w:rsidRDefault="006A2E94" w:rsidP="002F3610">
            <w:pPr>
              <w:rPr>
                <w:rFonts w:cs="Arial"/>
                <w:sz w:val="20"/>
                <w:szCs w:val="20"/>
              </w:rPr>
            </w:pPr>
            <w:r>
              <w:rPr>
                <w:rFonts w:cs="Arial"/>
                <w:sz w:val="20"/>
                <w:szCs w:val="20"/>
              </w:rPr>
              <w:t>$261.62 (</w:t>
            </w:r>
            <w:r w:rsidRPr="00FA6B9F">
              <w:rPr>
                <w:rFonts w:cs="Arial"/>
                <w:sz w:val="20"/>
                <w:szCs w:val="20"/>
              </w:rPr>
              <w:t>Varies by climate zone</w:t>
            </w:r>
            <w:r>
              <w:rPr>
                <w:rFonts w:cs="Arial"/>
                <w:sz w:val="20"/>
                <w:szCs w:val="20"/>
              </w:rPr>
              <w:t>)</w:t>
            </w:r>
          </w:p>
        </w:tc>
      </w:tr>
    </w:tbl>
    <w:p w14:paraId="34DB33A1" w14:textId="77777777" w:rsidR="003F05FA" w:rsidRPr="00C13301" w:rsidRDefault="003F05FA" w:rsidP="003F05FA">
      <w:pPr>
        <w:rPr>
          <w:rFonts w:cs="Arial"/>
          <w:i/>
          <w:sz w:val="20"/>
          <w:szCs w:val="20"/>
        </w:rPr>
      </w:pPr>
      <w:r w:rsidRPr="00DD1C47">
        <w:rPr>
          <w:rFonts w:cs="Arial"/>
          <w:i/>
          <w:sz w:val="20"/>
          <w:szCs w:val="20"/>
        </w:rPr>
        <w:t>All costs</w:t>
      </w:r>
      <w:r>
        <w:rPr>
          <w:rFonts w:cs="Arial"/>
          <w:i/>
          <w:sz w:val="20"/>
          <w:szCs w:val="20"/>
        </w:rPr>
        <w:t xml:space="preserve"> are noted as $ per VFD hp.</w:t>
      </w:r>
    </w:p>
    <w:p w14:paraId="393A153A" w14:textId="765A4449" w:rsidR="006B4563" w:rsidRDefault="00915CE6" w:rsidP="000966CC">
      <w:pPr>
        <w:pStyle w:val="Heading1"/>
      </w:pPr>
      <w:bookmarkStart w:id="153" w:name="_MON_1382719630"/>
      <w:bookmarkStart w:id="154" w:name="_Toc324340506"/>
      <w:bookmarkStart w:id="155" w:name="_Toc324318377"/>
      <w:bookmarkStart w:id="156" w:name="_Toc324340404"/>
      <w:bookmarkEnd w:id="153"/>
      <w:r>
        <w:br w:type="page"/>
      </w:r>
      <w:bookmarkEnd w:id="149"/>
      <w:bookmarkEnd w:id="154"/>
      <w:bookmarkEnd w:id="155"/>
      <w:bookmarkEnd w:id="156"/>
      <w:r w:rsidR="00D34AF4" w:rsidRPr="00430775">
        <w:rPr>
          <w:rStyle w:val="Strong"/>
          <w:b/>
          <w:sz w:val="24"/>
        </w:rPr>
        <w:lastRenderedPageBreak/>
        <w:t xml:space="preserve"> </w:t>
      </w:r>
      <w:bookmarkStart w:id="157" w:name="_Toc324318383"/>
      <w:bookmarkStart w:id="158" w:name="_Toc324340513"/>
      <w:bookmarkStart w:id="159" w:name="_Toc386699735"/>
      <w:bookmarkStart w:id="160" w:name="_Toc304800222"/>
      <w:r w:rsidR="000966CC">
        <w:t>References</w:t>
      </w:r>
      <w:bookmarkEnd w:id="157"/>
      <w:bookmarkEnd w:id="158"/>
      <w:bookmarkEnd w:id="159"/>
      <w:r w:rsidR="00844B27">
        <w:t xml:space="preserve"> </w:t>
      </w:r>
    </w:p>
    <w:bookmarkEnd w:id="160"/>
    <w:p w14:paraId="393A157E" w14:textId="0FF95D1A" w:rsidR="009168A1" w:rsidRPr="000966CC" w:rsidRDefault="009168A1" w:rsidP="00671943"/>
    <w:sectPr w:rsidR="009168A1" w:rsidRPr="000966CC" w:rsidSect="000E2763">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A159F" w14:textId="77777777" w:rsidR="00073A54" w:rsidRDefault="00073A54">
      <w:r>
        <w:separator/>
      </w:r>
    </w:p>
    <w:p w14:paraId="393A15A0" w14:textId="77777777" w:rsidR="00073A54" w:rsidRDefault="00073A54"/>
  </w:endnote>
  <w:endnote w:type="continuationSeparator" w:id="0">
    <w:p w14:paraId="393A15A1" w14:textId="77777777" w:rsidR="00073A54" w:rsidRDefault="00073A54">
      <w:r>
        <w:continuationSeparator/>
      </w:r>
    </w:p>
    <w:p w14:paraId="393A15A2" w14:textId="77777777" w:rsidR="00073A54" w:rsidRDefault="00073A54"/>
  </w:endnote>
  <w:endnote w:id="1">
    <w:p w14:paraId="1480F57A" w14:textId="1E49615B" w:rsidR="00073A54" w:rsidRDefault="00073A54" w:rsidP="00330B6B">
      <w:pPr>
        <w:pStyle w:val="EndnoteText"/>
        <w:spacing w:after="120"/>
      </w:pPr>
      <w:r>
        <w:rPr>
          <w:rStyle w:val="EndnoteReference"/>
        </w:rPr>
        <w:endnoteRef/>
      </w:r>
      <w:r>
        <w:t xml:space="preserve"> </w:t>
      </w:r>
      <w:proofErr w:type="gramStart"/>
      <w:r>
        <w:t>2004-2005 DEER</w:t>
      </w:r>
      <w:r>
        <w:fldChar w:fldCharType="begin"/>
      </w:r>
      <w:r>
        <w:instrText xml:space="preserve"> XE "</w:instrText>
      </w:r>
      <w:r w:rsidRPr="00177258">
        <w:instrText>DEER</w:instrText>
      </w:r>
      <w:r>
        <w:instrText xml:space="preserve">" </w:instrText>
      </w:r>
      <w:r>
        <w:fldChar w:fldCharType="end"/>
      </w:r>
      <w:r>
        <w:t xml:space="preserve"> Update Final Report,</w:t>
      </w:r>
      <w:r w:rsidRPr="002A4A19">
        <w:t xml:space="preserve"> page 7-35, VSD Supply Fan Measure</w:t>
      </w:r>
      <w:r>
        <w:t xml:space="preserve">, </w:t>
      </w:r>
      <w:hyperlink r:id="rId1" w:history="1">
        <w:r>
          <w:rPr>
            <w:rStyle w:val="Hyperlink"/>
          </w:rPr>
          <w:t>www.deer</w:t>
        </w:r>
        <w:r w:rsidRPr="003B1376">
          <w:rPr>
            <w:rStyle w:val="Hyperlink"/>
          </w:rPr>
          <w:t>esources.com</w:t>
        </w:r>
      </w:hyperlink>
      <w:r>
        <w:t xml:space="preserve"> under </w:t>
      </w:r>
      <w:r w:rsidRPr="007F709E">
        <w:rPr>
          <w:i/>
        </w:rPr>
        <w:t>DEER2005, DEER 2005 Final Report (</w:t>
      </w:r>
      <w:proofErr w:type="spellStart"/>
      <w:r w:rsidRPr="007F709E">
        <w:rPr>
          <w:i/>
        </w:rPr>
        <w:t>Itron</w:t>
      </w:r>
      <w:proofErr w:type="spellEnd"/>
      <w:r w:rsidRPr="007F709E">
        <w:rPr>
          <w:i/>
        </w:rPr>
        <w:t xml:space="preserve"> – December 2005)</w:t>
      </w:r>
      <w:r>
        <w:t xml:space="preserve"> hyperlink at the bottom of the page, PDF</w:t>
      </w:r>
      <w:proofErr w:type="gramEnd"/>
      <w:r>
        <w:t xml:space="preserve"> file DEER2005UpdateFinalReport_ItronVerion.pdf.</w:t>
      </w:r>
    </w:p>
  </w:endnote>
  <w:endnote w:id="2">
    <w:p w14:paraId="5FC70D57" w14:textId="10109773" w:rsidR="00073A54" w:rsidRDefault="00073A54" w:rsidP="00330B6B">
      <w:pPr>
        <w:pStyle w:val="EndnoteText"/>
        <w:spacing w:after="120"/>
      </w:pPr>
      <w:r>
        <w:rPr>
          <w:rStyle w:val="EndnoteReference"/>
        </w:rPr>
        <w:endnoteRef/>
      </w:r>
      <w:r>
        <w:t xml:space="preserve"> </w:t>
      </w:r>
      <w:r w:rsidRPr="00A52634">
        <w:t>California Public Utilities Commission (CPUC), Database for Energy Ef</w:t>
      </w:r>
      <w:r>
        <w:t>ficient Resources (DEER) v. 2014</w:t>
      </w:r>
      <w:r w:rsidRPr="00A52634">
        <w:t xml:space="preserve">, </w:t>
      </w:r>
      <w:proofErr w:type="gramStart"/>
      <w:r>
        <w:rPr>
          <w:i/>
        </w:rPr>
        <w:t>Measure</w:t>
      </w:r>
      <w:proofErr w:type="gramEnd"/>
      <w:r>
        <w:rPr>
          <w:i/>
        </w:rPr>
        <w:t xml:space="preserve"> ID: D03-051</w:t>
      </w:r>
      <w:r>
        <w:t>, extracted from READI_v1.0.5</w:t>
      </w:r>
      <w:r w:rsidRPr="00A52634">
        <w:t xml:space="preserve">.zip, downloaded from </w:t>
      </w:r>
      <w:hyperlink r:id="rId2" w:history="1">
        <w:r w:rsidRPr="00A52634">
          <w:rPr>
            <w:rStyle w:val="Hyperlink"/>
          </w:rPr>
          <w:t>www.deeresources.com</w:t>
        </w:r>
      </w:hyperlink>
      <w:r w:rsidRPr="00A52634">
        <w:t>.</w:t>
      </w:r>
    </w:p>
  </w:endnote>
  <w:endnote w:id="3">
    <w:p w14:paraId="569200BB" w14:textId="3BFE2B4A" w:rsidR="00073A54" w:rsidRDefault="00073A54" w:rsidP="002208B3">
      <w:pPr>
        <w:pStyle w:val="EndnoteText"/>
        <w:spacing w:after="120"/>
      </w:pPr>
      <w:r>
        <w:rPr>
          <w:rStyle w:val="EndnoteReference"/>
        </w:rPr>
        <w:endnoteRef/>
      </w:r>
      <w:r>
        <w:t xml:space="preserve"> </w:t>
      </w:r>
      <w:r w:rsidRPr="00A52634">
        <w:t>California Public Utilities Commission (CPUC), Database for Energy Ef</w:t>
      </w:r>
      <w:r>
        <w:t>ficient Resources (DEER) v. 2014</w:t>
      </w:r>
      <w:r w:rsidRPr="00A52634">
        <w:t xml:space="preserve">, </w:t>
      </w:r>
      <w:proofErr w:type="gramStart"/>
      <w:r w:rsidRPr="00A52634">
        <w:rPr>
          <w:i/>
        </w:rPr>
        <w:t>Table</w:t>
      </w:r>
      <w:proofErr w:type="gramEnd"/>
      <w:r w:rsidRPr="00A52634">
        <w:rPr>
          <w:i/>
        </w:rPr>
        <w:t xml:space="preserve"> Name: </w:t>
      </w:r>
      <w:proofErr w:type="spellStart"/>
      <w:r>
        <w:rPr>
          <w:i/>
        </w:rPr>
        <w:t>LaborRate</w:t>
      </w:r>
      <w:proofErr w:type="spellEnd"/>
      <w:r w:rsidRPr="00A52634">
        <w:t>,</w:t>
      </w:r>
      <w:r>
        <w:t xml:space="preserve"> </w:t>
      </w:r>
      <w:r>
        <w:rPr>
          <w:i/>
        </w:rPr>
        <w:t>Table Code</w:t>
      </w:r>
      <w:r w:rsidRPr="00A52634">
        <w:rPr>
          <w:i/>
        </w:rPr>
        <w:t xml:space="preserve">: </w:t>
      </w:r>
      <w:r>
        <w:rPr>
          <w:i/>
        </w:rPr>
        <w:t>NR-HVAC-AC</w:t>
      </w:r>
      <w:r>
        <w:t>, extracted from READI_v1.0.5</w:t>
      </w:r>
      <w:r w:rsidRPr="00A52634">
        <w:t xml:space="preserve">.zip, downloaded from </w:t>
      </w:r>
      <w:hyperlink r:id="rId3" w:history="1">
        <w:r w:rsidRPr="00A52634">
          <w:rPr>
            <w:rStyle w:val="Hyperlink"/>
          </w:rPr>
          <w:t>www.deeresources.com</w:t>
        </w:r>
      </w:hyperlink>
      <w:r w:rsidRPr="00A52634">
        <w:t>.</w:t>
      </w:r>
    </w:p>
  </w:endnote>
  <w:endnote w:id="4">
    <w:p w14:paraId="3A32F499" w14:textId="0F56896F" w:rsidR="00073A54" w:rsidRDefault="00073A54" w:rsidP="002208B3">
      <w:pPr>
        <w:pStyle w:val="EndnoteText"/>
        <w:spacing w:after="120"/>
      </w:pPr>
      <w:r>
        <w:rPr>
          <w:rStyle w:val="EndnoteReference"/>
        </w:rPr>
        <w:endnoteRef/>
      </w:r>
      <w:r>
        <w:t xml:space="preserve"> </w:t>
      </w:r>
      <w:r w:rsidRPr="00A52634">
        <w:t>California Public Utilities Commission (CPUC), Database for Energy Ef</w:t>
      </w:r>
      <w:r>
        <w:t>ficient Resources (DEER) v. 2014</w:t>
      </w:r>
      <w:r w:rsidRPr="00A52634">
        <w:t xml:space="preserve">, </w:t>
      </w:r>
      <w:r w:rsidRPr="00A52634">
        <w:rPr>
          <w:i/>
        </w:rPr>
        <w:t xml:space="preserve">Table Name: </w:t>
      </w:r>
      <w:proofErr w:type="spellStart"/>
      <w:r>
        <w:rPr>
          <w:i/>
        </w:rPr>
        <w:t>CostAdjust</w:t>
      </w:r>
      <w:proofErr w:type="spellEnd"/>
      <w:r w:rsidRPr="00A52634">
        <w:t>,</w:t>
      </w:r>
      <w:r>
        <w:t xml:space="preserve"> </w:t>
      </w:r>
      <w:r>
        <w:rPr>
          <w:i/>
        </w:rPr>
        <w:t>Table Code</w:t>
      </w:r>
      <w:r w:rsidRPr="00A52634">
        <w:rPr>
          <w:i/>
        </w:rPr>
        <w:t xml:space="preserve">: </w:t>
      </w:r>
      <w:r>
        <w:rPr>
          <w:i/>
        </w:rPr>
        <w:t>HVAC50 (all 16 climate zones)</w:t>
      </w:r>
      <w:r>
        <w:t>, extracted from READI_v1.0.5</w:t>
      </w:r>
      <w:r w:rsidRPr="00A52634">
        <w:t xml:space="preserve">.zip, downloaded from </w:t>
      </w:r>
      <w:hyperlink r:id="rId4" w:history="1">
        <w:r w:rsidRPr="00A52634">
          <w:rPr>
            <w:rStyle w:val="Hyperlink"/>
          </w:rPr>
          <w:t>www.deeresources.com</w:t>
        </w:r>
      </w:hyperlink>
      <w:r w:rsidRPr="00A52634">
        <w:t>.</w:t>
      </w:r>
    </w:p>
  </w:endnote>
  <w:endnote w:id="5">
    <w:p w14:paraId="4FDE632E" w14:textId="3AB0A89A" w:rsidR="00073A54" w:rsidRDefault="00073A54" w:rsidP="002208B3">
      <w:pPr>
        <w:pStyle w:val="EndnoteText"/>
        <w:spacing w:after="120"/>
      </w:pPr>
      <w:r>
        <w:rPr>
          <w:rStyle w:val="EndnoteReference"/>
        </w:rPr>
        <w:endnoteRef/>
      </w:r>
      <w:r>
        <w:t xml:space="preserve"> 2014 RS Means Mechanical Cost Data, 37</w:t>
      </w:r>
      <w:r w:rsidRPr="00A17D29">
        <w:rPr>
          <w:vertAlign w:val="superscript"/>
        </w:rPr>
        <w:t>rd</w:t>
      </w:r>
      <w:r>
        <w:t xml:space="preserve"> Annual Edition, Mossman, Melville J., </w:t>
      </w:r>
      <w:r>
        <w:rPr>
          <w:i/>
        </w:rPr>
        <w:t>Section 26 29</w:t>
      </w:r>
      <w:r w:rsidRPr="005A3BF0">
        <w:rPr>
          <w:i/>
        </w:rPr>
        <w:t xml:space="preserve"> 23.10 Variable Frequency Drives</w:t>
      </w:r>
      <w:r>
        <w:rPr>
          <w:i/>
        </w:rPr>
        <w:t>/Adj. Frequency Drives</w:t>
      </w:r>
      <w:r>
        <w:t>, pg. 429-430.</w:t>
      </w:r>
    </w:p>
  </w:endnote>
  <w:endnote w:id="6">
    <w:p w14:paraId="108D9735" w14:textId="12E14ED7" w:rsidR="00073A54" w:rsidRDefault="00073A54" w:rsidP="00330B6B">
      <w:pPr>
        <w:pStyle w:val="EndnoteText"/>
        <w:spacing w:after="120"/>
      </w:pPr>
      <w:r>
        <w:rPr>
          <w:rStyle w:val="EndnoteReference"/>
        </w:rPr>
        <w:endnoteRef/>
      </w:r>
      <w:r>
        <w:t xml:space="preserve"> Updated 2008 DEER Measure Costs for 09-11 Planning/Reporting, </w:t>
      </w:r>
      <w:hyperlink r:id="rId5" w:history="1">
        <w:r w:rsidRPr="00B97D17">
          <w:rPr>
            <w:rStyle w:val="Hyperlink"/>
          </w:rPr>
          <w:t>www.deeresources.com</w:t>
        </w:r>
      </w:hyperlink>
      <w:r>
        <w:t xml:space="preserve"> under </w:t>
      </w:r>
      <w:r w:rsidRPr="00DD41D7">
        <w:t>DEER2008 for 09-11 Planning/Reporting</w:t>
      </w:r>
      <w:r>
        <w:t xml:space="preserve">, </w:t>
      </w:r>
      <w:r w:rsidRPr="00226F30">
        <w:rPr>
          <w:i/>
        </w:rPr>
        <w:t>Cost Values and Summary Documentation (updated 6/2/2008 – NR linear fluorescent labor costs typo)</w:t>
      </w:r>
      <w:r>
        <w:t xml:space="preserve"> hyperlink under Technology and Measure Cost Data, spreadsheet </w:t>
      </w:r>
      <w:r w:rsidRPr="004230B3">
        <w:rPr>
          <w:i/>
        </w:rPr>
        <w:t>Revised DEER Measure Cost Summary (05_30_2008) Revised (06_02_2008).</w:t>
      </w:r>
      <w:proofErr w:type="spellStart"/>
      <w:r w:rsidRPr="004230B3">
        <w:rPr>
          <w:i/>
        </w:rPr>
        <w:t>xls</w:t>
      </w:r>
      <w:proofErr w:type="spellEnd"/>
      <w:r>
        <w:t>, NR-</w:t>
      </w:r>
      <w:proofErr w:type="spellStart"/>
      <w:r>
        <w:t>Misc</w:t>
      </w:r>
      <w:proofErr w:type="spellEnd"/>
      <w:r>
        <w:t xml:space="preserve"> Tab, Row 26.</w:t>
      </w:r>
    </w:p>
  </w:endnote>
  <w:endnote w:id="7">
    <w:p w14:paraId="0E705044" w14:textId="77777777" w:rsidR="00073A54" w:rsidRDefault="00073A54" w:rsidP="003339E5">
      <w:pPr>
        <w:pStyle w:val="EndnoteText"/>
        <w:spacing w:after="120"/>
      </w:pPr>
      <w:r>
        <w:rPr>
          <w:rStyle w:val="EndnoteReference"/>
        </w:rPr>
        <w:endnoteRef/>
      </w:r>
      <w:r>
        <w:t xml:space="preserve"> Updated 2008 DEER Measure Costs for 09-11 Planning/Reporting, </w:t>
      </w:r>
      <w:hyperlink r:id="rId6" w:history="1">
        <w:r w:rsidRPr="00B97D17">
          <w:rPr>
            <w:rStyle w:val="Hyperlink"/>
          </w:rPr>
          <w:t>www.deeresources.com</w:t>
        </w:r>
      </w:hyperlink>
      <w:r>
        <w:t xml:space="preserve"> under </w:t>
      </w:r>
      <w:r w:rsidRPr="00DD41D7">
        <w:t>DEER2008 for 09-11 Planning/Reporting</w:t>
      </w:r>
      <w:r>
        <w:t xml:space="preserve">, </w:t>
      </w:r>
      <w:r w:rsidRPr="00226F30">
        <w:rPr>
          <w:i/>
        </w:rPr>
        <w:t>Cost Values and Summary Documentation (updated 6/2/2008 – NR linear fluorescent labor costs typo)</w:t>
      </w:r>
      <w:r>
        <w:t xml:space="preserve"> hyperlink under Technology and Measure Cost Data, spreadsheet </w:t>
      </w:r>
      <w:r w:rsidRPr="004230B3">
        <w:rPr>
          <w:i/>
        </w:rPr>
        <w:t>Revised DEER Measure Cost Summary (05_30_2008) Revised (06_02_2008).</w:t>
      </w:r>
      <w:proofErr w:type="spellStart"/>
      <w:r w:rsidRPr="004230B3">
        <w:rPr>
          <w:i/>
        </w:rPr>
        <w:t>xls</w:t>
      </w:r>
      <w:proofErr w:type="spellEnd"/>
      <w:r>
        <w:t>, NR-</w:t>
      </w:r>
      <w:proofErr w:type="spellStart"/>
      <w:r>
        <w:t>Misc</w:t>
      </w:r>
      <w:proofErr w:type="spellEnd"/>
      <w:r>
        <w:t xml:space="preserve"> Tab, Row 26.</w:t>
      </w:r>
    </w:p>
  </w:endnote>
  <w:endnote w:id="8">
    <w:p w14:paraId="678565FF" w14:textId="490B6B8E" w:rsidR="00073A54" w:rsidRDefault="00073A54" w:rsidP="002208B3">
      <w:pPr>
        <w:pStyle w:val="EndnoteText"/>
        <w:spacing w:after="120"/>
      </w:pPr>
      <w:r>
        <w:rPr>
          <w:rStyle w:val="EndnoteReference"/>
        </w:rPr>
        <w:endnoteRef/>
      </w:r>
      <w:r>
        <w:t xml:space="preserve"> Updated 2008 DEER Measure Costs for 09-11 Planning/Reporting, </w:t>
      </w:r>
      <w:hyperlink r:id="rId7" w:history="1">
        <w:r w:rsidRPr="00B97D17">
          <w:rPr>
            <w:rStyle w:val="Hyperlink"/>
          </w:rPr>
          <w:t>www.deeresources.com</w:t>
        </w:r>
      </w:hyperlink>
      <w:r>
        <w:t xml:space="preserve"> under </w:t>
      </w:r>
      <w:r w:rsidRPr="00DD41D7">
        <w:t>DEER2008 for 09-11 Planning/Reporting</w:t>
      </w:r>
      <w:r>
        <w:t xml:space="preserve">, </w:t>
      </w:r>
      <w:r w:rsidRPr="00226F30">
        <w:rPr>
          <w:i/>
        </w:rPr>
        <w:t>Cost Values and Summary Documentation (updated 6/2/2008 – NR linear fluorescent labor costs typo)</w:t>
      </w:r>
      <w:r>
        <w:t xml:space="preserve"> hyperlink under Technology and Measure Cost Data, spreadsheet </w:t>
      </w:r>
      <w:r w:rsidRPr="004230B3">
        <w:rPr>
          <w:i/>
        </w:rPr>
        <w:t>Revised DEER Measure Cost Summary (05_30_2008) Revised (06_02_2008).</w:t>
      </w:r>
      <w:proofErr w:type="spellStart"/>
      <w:r w:rsidRPr="004230B3">
        <w:rPr>
          <w:i/>
        </w:rPr>
        <w:t>xls</w:t>
      </w:r>
      <w:proofErr w:type="spellEnd"/>
      <w:r>
        <w:t>, NR-</w:t>
      </w:r>
      <w:proofErr w:type="spellStart"/>
      <w:r>
        <w:t>Misc</w:t>
      </w:r>
      <w:proofErr w:type="spellEnd"/>
      <w:r>
        <w:t xml:space="preserve"> Tab, Row 26.</w:t>
      </w:r>
    </w:p>
  </w:endnote>
  <w:endnote w:id="9">
    <w:p w14:paraId="31E1ABB3" w14:textId="144E3996" w:rsidR="00073A54" w:rsidRPr="000812FF" w:rsidRDefault="00073A54" w:rsidP="002208B3">
      <w:pPr>
        <w:pStyle w:val="EndnoteText"/>
        <w:spacing w:after="120"/>
      </w:pPr>
      <w:r>
        <w:rPr>
          <w:rStyle w:val="EndnoteReference"/>
        </w:rPr>
        <w:endnoteRef/>
      </w:r>
      <w:r>
        <w:t xml:space="preserve"> </w:t>
      </w:r>
      <w:r w:rsidRPr="009D7370">
        <w:t>California Public Utilities Commission (CPUC), Database for Energy Ef</w:t>
      </w:r>
      <w:r>
        <w:t>ficient Resources (DEER) v. 2014</w:t>
      </w:r>
      <w:r w:rsidRPr="009D7370">
        <w:t xml:space="preserve">, </w:t>
      </w:r>
      <w:proofErr w:type="gramStart"/>
      <w:r w:rsidRPr="009D7370">
        <w:rPr>
          <w:i/>
        </w:rPr>
        <w:t>Table</w:t>
      </w:r>
      <w:proofErr w:type="gramEnd"/>
      <w:r w:rsidRPr="009D7370">
        <w:rPr>
          <w:i/>
        </w:rPr>
        <w:t xml:space="preserve"> Name: EUL</w:t>
      </w:r>
      <w:r w:rsidRPr="009D7370">
        <w:t xml:space="preserve">, </w:t>
      </w:r>
      <w:r w:rsidRPr="009D7370">
        <w:rPr>
          <w:i/>
        </w:rPr>
        <w:t>EUL_ID: HVAC-</w:t>
      </w:r>
      <w:proofErr w:type="spellStart"/>
      <w:r w:rsidRPr="009D7370">
        <w:rPr>
          <w:i/>
        </w:rPr>
        <w:t>VSDSupFan</w:t>
      </w:r>
      <w:proofErr w:type="spellEnd"/>
      <w:r>
        <w:t>, extracted from READI_v1.0.5</w:t>
      </w:r>
      <w:r w:rsidRPr="009D7370">
        <w:t xml:space="preserve">.zip, downloaded from </w:t>
      </w:r>
      <w:hyperlink r:id="rId8" w:history="1">
        <w:r w:rsidRPr="009D7370">
          <w:rPr>
            <w:rStyle w:val="Hyperlink"/>
          </w:rPr>
          <w:t>www.deeresources.com</w:t>
        </w:r>
      </w:hyperlink>
      <w:r w:rsidRPr="009D7370">
        <w:t>.</w:t>
      </w:r>
    </w:p>
  </w:endnote>
  <w:endnote w:id="10">
    <w:p w14:paraId="3AEA7729" w14:textId="0B61B0F1" w:rsidR="00073A54" w:rsidRPr="00675BA6" w:rsidRDefault="00073A54" w:rsidP="002208B3">
      <w:pPr>
        <w:pStyle w:val="EndnoteText"/>
        <w:spacing w:after="120"/>
      </w:pPr>
      <w:r>
        <w:rPr>
          <w:rStyle w:val="EndnoteReference"/>
        </w:rPr>
        <w:endnoteRef/>
      </w:r>
      <w:r>
        <w:t xml:space="preserve"> </w:t>
      </w:r>
      <w:r w:rsidRPr="000355ED">
        <w:t>California Public Utilities Commission (CPUC), Database for Energy Ef</w:t>
      </w:r>
      <w:r>
        <w:t>ficient Resources (DEER) v. 2014</w:t>
      </w:r>
      <w:r w:rsidRPr="000355ED">
        <w:t xml:space="preserve">, Table Name: </w:t>
      </w:r>
      <w:r w:rsidRPr="000355ED">
        <w:rPr>
          <w:i/>
        </w:rPr>
        <w:t>NTGR</w:t>
      </w:r>
      <w:r w:rsidRPr="000355ED">
        <w:t xml:space="preserve">, NTG_ID: </w:t>
      </w:r>
      <w:r w:rsidRPr="000355ED">
        <w:rPr>
          <w:i/>
        </w:rPr>
        <w:t>Com-Default&gt;2yrs</w:t>
      </w:r>
      <w:r w:rsidRPr="000355ED">
        <w:t>, extracted from READI_</w:t>
      </w:r>
      <w:r>
        <w:t>v1.0.5.</w:t>
      </w:r>
      <w:r w:rsidRPr="000355ED">
        <w:t xml:space="preserve">zip, downloaded from </w:t>
      </w:r>
      <w:hyperlink r:id="rId9" w:history="1">
        <w:r w:rsidRPr="000355ED">
          <w:rPr>
            <w:rStyle w:val="Hyperlink"/>
          </w:rPr>
          <w:t>www.deeresources.com</w:t>
        </w:r>
      </w:hyperlink>
      <w:r w:rsidRPr="000355ED">
        <w:t>.</w:t>
      </w:r>
    </w:p>
  </w:endnote>
  <w:endnote w:id="11">
    <w:p w14:paraId="393A15BF" w14:textId="77777777" w:rsidR="00073A54" w:rsidRDefault="00073A54">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0"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12">
    <w:p w14:paraId="393A15C1" w14:textId="77777777" w:rsidR="00073A54" w:rsidRDefault="00073A54">
      <w:pPr>
        <w:pStyle w:val="EndnoteText"/>
      </w:pPr>
      <w:r>
        <w:rPr>
          <w:rStyle w:val="EndnoteReference"/>
        </w:rPr>
        <w:endnoteRef/>
      </w:r>
      <w:r>
        <w:t xml:space="preserve"> SCE, Measure Cost Revision 5 revised for PG&amp;E by S.L. Blanc 2012</w:t>
      </w:r>
    </w:p>
    <w:p w14:paraId="393A15C2" w14:textId="77777777" w:rsidR="00073A54" w:rsidRDefault="00073A54">
      <w:pPr>
        <w:pStyle w:val="EndnoteText"/>
      </w:pPr>
      <w:r w:rsidRPr="003D298F">
        <w:t xml:space="preserve"> </w:t>
      </w:r>
      <w:bookmarkStart w:id="150" w:name="_MON_1398083315"/>
      <w:bookmarkStart w:id="151" w:name="_MON_1382719778"/>
      <w:bookmarkEnd w:id="150"/>
      <w:bookmarkEnd w:id="151"/>
      <w:bookmarkStart w:id="152" w:name="_MON_1398086104"/>
      <w:bookmarkEnd w:id="152"/>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o:ole="">
            <v:imagedata r:id="rId11" o:title=""/>
          </v:shape>
          <o:OLEObject Type="Embed" ProgID="Word.Document.8" ShapeID="_x0000_i1026" DrawAspect="Icon" ObjectID="_1463339063" r:id="rId12">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073A54" w:rsidRDefault="00073A5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073A54" w:rsidRDefault="00073A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073A54" w:rsidRPr="00846195" w:rsidRDefault="00073A54"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073A54" w:rsidRDefault="00073A54"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073A54" w:rsidRDefault="00073A54" w:rsidP="00D7047A">
    <w:pPr>
      <w:pStyle w:val="Footer"/>
      <w:rPr>
        <w:b/>
        <w:sz w:val="20"/>
        <w:szCs w:val="20"/>
      </w:rPr>
    </w:pPr>
    <w:r>
      <w:rPr>
        <w:b/>
        <w:sz w:val="20"/>
        <w:szCs w:val="20"/>
      </w:rPr>
      <w:t>Pacific Gas &amp; Electric Company</w:t>
    </w:r>
  </w:p>
  <w:p w14:paraId="393A15AB" w14:textId="77777777" w:rsidR="00073A54" w:rsidRPr="00844B27" w:rsidRDefault="00073A54"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7D50DF25" w:rsidR="00073A54" w:rsidRPr="002E0E3F" w:rsidRDefault="00073A54" w:rsidP="00274A7E">
    <w:pPr>
      <w:pStyle w:val="Footer"/>
      <w:jc w:val="right"/>
      <w:rPr>
        <w:rFonts w:cs="Arial"/>
        <w:b/>
        <w:sz w:val="36"/>
        <w:szCs w:val="36"/>
      </w:rPr>
    </w:pPr>
    <w:r>
      <w:rPr>
        <w:rFonts w:cs="Arial"/>
        <w:b/>
        <w:sz w:val="36"/>
        <w:szCs w:val="36"/>
      </w:rPr>
      <w:t xml:space="preserve">Last revised 5/08/2014 l2h6 </w:t>
    </w:r>
  </w:p>
  <w:p w14:paraId="393A15AE" w14:textId="77777777" w:rsidR="00073A54" w:rsidRDefault="00073A5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073A54" w:rsidRDefault="00073A54"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073A54" w:rsidRDefault="00073A5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210FE726" w:rsidR="00073A54" w:rsidRPr="000E2763" w:rsidRDefault="00073A54" w:rsidP="00C747DF">
    <w:pPr>
      <w:pStyle w:val="Footer"/>
      <w:pBdr>
        <w:top w:val="single" w:sz="4" w:space="1" w:color="auto"/>
      </w:pBdr>
      <w:tabs>
        <w:tab w:val="clear" w:pos="4320"/>
        <w:tab w:val="clear" w:pos="8640"/>
        <w:tab w:val="right" w:pos="9360"/>
      </w:tabs>
      <w:rPr>
        <w:b/>
        <w:sz w:val="20"/>
        <w:szCs w:val="20"/>
      </w:rPr>
    </w:pPr>
    <w:r w:rsidRPr="000E2763">
      <w:rPr>
        <w:b/>
        <w:sz w:val="20"/>
        <w:szCs w:val="20"/>
      </w:rPr>
      <w:t xml:space="preserve">PGECOHVC106 VFDs for HVAC Fans, Revision 4                                     </w:t>
    </w:r>
    <w:r>
      <w:rPr>
        <w:b/>
        <w:sz w:val="20"/>
        <w:szCs w:val="20"/>
      </w:rPr>
      <w:t xml:space="preserve">                             5/8/</w:t>
    </w:r>
    <w:r w:rsidRPr="000E2763">
      <w:rPr>
        <w:b/>
        <w:sz w:val="20"/>
        <w:szCs w:val="20"/>
      </w:rPr>
      <w:t>2014</w:t>
    </w:r>
  </w:p>
  <w:p w14:paraId="393A15B5" w14:textId="77777777" w:rsidR="00073A54" w:rsidRDefault="00073A54" w:rsidP="00D7047A">
    <w:pPr>
      <w:pStyle w:val="Footer"/>
      <w:rPr>
        <w:b/>
        <w:sz w:val="20"/>
        <w:szCs w:val="20"/>
      </w:rPr>
    </w:pPr>
    <w:r w:rsidRPr="000E2763">
      <w:rPr>
        <w:b/>
        <w:sz w:val="20"/>
        <w:szCs w:val="20"/>
      </w:rPr>
      <w:t>Pacific Gas &amp; Electric Company</w:t>
    </w:r>
  </w:p>
  <w:p w14:paraId="393A15B6" w14:textId="5D8BF4F0" w:rsidR="00073A54" w:rsidRDefault="00073A54" w:rsidP="00C747DF">
    <w:pPr>
      <w:pStyle w:val="Footer"/>
      <w:tabs>
        <w:tab w:val="clear" w:pos="4320"/>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PGECOHVC106 R4 VFDs for HVAC Fans.docx</w:t>
    </w:r>
    <w:r w:rsidRPr="00844B27">
      <w:rPr>
        <w:b/>
        <w:color w:val="0000FF"/>
        <w:sz w:val="20"/>
        <w:szCs w:val="20"/>
      </w:rPr>
      <w:fldChar w:fldCharType="end"/>
    </w:r>
    <w:r>
      <w:rPr>
        <w:b/>
        <w:color w:val="0000FF"/>
        <w:sz w:val="20"/>
        <w:szCs w:val="20"/>
      </w:rPr>
      <w:t xml:space="preserve"> </w:t>
    </w:r>
    <w:r>
      <w:rPr>
        <w:b/>
        <w:color w:val="0000FF"/>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04019F">
      <w:rPr>
        <w:rFonts w:asciiTheme="minorHAnsi" w:hAnsiTheme="minorHAnsi" w:cstheme="minorHAnsi"/>
        <w:b/>
        <w:noProof/>
        <w:sz w:val="20"/>
        <w:szCs w:val="20"/>
      </w:rPr>
      <w:t>8</w:t>
    </w:r>
    <w:r w:rsidRPr="009500DC">
      <w:rPr>
        <w:rFonts w:asciiTheme="minorHAnsi" w:hAnsiTheme="minorHAnsi" w:cstheme="minorHAnsi"/>
        <w:b/>
        <w:noProo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073A54" w:rsidRPr="002E0E3F" w:rsidRDefault="00073A54" w:rsidP="00D7047A">
    <w:pPr>
      <w:pStyle w:val="Footer"/>
      <w:jc w:val="right"/>
      <w:rPr>
        <w:rFonts w:cs="Arial"/>
        <w:b/>
        <w:sz w:val="36"/>
        <w:szCs w:val="36"/>
      </w:rPr>
    </w:pPr>
    <w:r>
      <w:rPr>
        <w:rFonts w:cs="Arial"/>
        <w:b/>
        <w:sz w:val="36"/>
        <w:szCs w:val="36"/>
      </w:rPr>
      <w:t>Date of Last Revision</w:t>
    </w:r>
  </w:p>
  <w:p w14:paraId="393A15B9" w14:textId="77777777" w:rsidR="00073A54" w:rsidRDefault="00073A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A159B" w14:textId="77777777" w:rsidR="00073A54" w:rsidRDefault="00073A54">
      <w:r>
        <w:separator/>
      </w:r>
    </w:p>
    <w:p w14:paraId="393A159C" w14:textId="77777777" w:rsidR="00073A54" w:rsidRDefault="00073A54"/>
  </w:footnote>
  <w:footnote w:type="continuationSeparator" w:id="0">
    <w:p w14:paraId="393A159D" w14:textId="77777777" w:rsidR="00073A54" w:rsidRDefault="00073A54">
      <w:r>
        <w:continuationSeparator/>
      </w:r>
    </w:p>
    <w:p w14:paraId="393A159E" w14:textId="77777777" w:rsidR="00073A54" w:rsidRDefault="00073A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073A54" w:rsidRDefault="0004019F">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073A54" w:rsidRDefault="00073A54" w:rsidP="001A573F">
    <w:pPr>
      <w:pStyle w:val="Header"/>
      <w:jc w:val="right"/>
    </w:pPr>
  </w:p>
  <w:p w14:paraId="393A15A5" w14:textId="77777777" w:rsidR="00073A54" w:rsidRDefault="00073A54"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3F44D159" w:rsidR="00073A54" w:rsidRDefault="00073A5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073A54" w:rsidRPr="00530C91" w:rsidRDefault="00073A54" w:rsidP="00530C9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5C4ADE73" w:rsidR="00073A54" w:rsidRDefault="00073A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C941EA"/>
    <w:multiLevelType w:val="hybridMultilevel"/>
    <w:tmpl w:val="96B6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3935226"/>
    <w:multiLevelType w:val="hybridMultilevel"/>
    <w:tmpl w:val="96B6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6D1FA3"/>
    <w:multiLevelType w:val="hybridMultilevel"/>
    <w:tmpl w:val="CA862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820856"/>
    <w:multiLevelType w:val="singleLevel"/>
    <w:tmpl w:val="6C78A414"/>
    <w:lvl w:ilvl="0">
      <w:start w:val="1"/>
      <w:numFmt w:val="decimal"/>
      <w:lvlText w:val="%1."/>
      <w:legacy w:legacy="1" w:legacySpace="0" w:legacyIndent="0"/>
      <w:lvlJc w:val="left"/>
    </w:lvl>
  </w:abstractNum>
  <w:abstractNum w:abstractNumId="20">
    <w:nsid w:val="790F0503"/>
    <w:multiLevelType w:val="hybridMultilevel"/>
    <w:tmpl w:val="948A0B28"/>
    <w:lvl w:ilvl="0" w:tplc="3E00CF7A">
      <w:start w:val="1"/>
      <w:numFmt w:val="bullet"/>
      <w:lvlText w:val=""/>
      <w:lvlJc w:val="left"/>
      <w:pPr>
        <w:ind w:left="1080" w:hanging="360"/>
      </w:pPr>
      <w:rPr>
        <w:rFonts w:ascii="Symbol" w:hAnsi="Symbol" w:hint="default"/>
        <w:b/>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7"/>
  </w:num>
  <w:num w:numId="5">
    <w:abstractNumId w:val="19"/>
  </w:num>
  <w:num w:numId="6">
    <w:abstractNumId w:val="9"/>
  </w:num>
  <w:num w:numId="7">
    <w:abstractNumId w:val="6"/>
  </w:num>
  <w:num w:numId="8">
    <w:abstractNumId w:val="12"/>
  </w:num>
  <w:num w:numId="9">
    <w:abstractNumId w:val="8"/>
  </w:num>
  <w:num w:numId="10">
    <w:abstractNumId w:val="1"/>
  </w:num>
  <w:num w:numId="11">
    <w:abstractNumId w:val="15"/>
  </w:num>
  <w:num w:numId="12">
    <w:abstractNumId w:val="16"/>
  </w:num>
  <w:num w:numId="13">
    <w:abstractNumId w:val="3"/>
  </w:num>
  <w:num w:numId="14">
    <w:abstractNumId w:val="22"/>
  </w:num>
  <w:num w:numId="15">
    <w:abstractNumId w:val="13"/>
  </w:num>
  <w:num w:numId="16">
    <w:abstractNumId w:val="14"/>
  </w:num>
  <w:num w:numId="17">
    <w:abstractNumId w:val="0"/>
  </w:num>
  <w:num w:numId="18">
    <w:abstractNumId w:val="21"/>
  </w:num>
  <w:num w:numId="19">
    <w:abstractNumId w:val="17"/>
  </w:num>
  <w:num w:numId="20">
    <w:abstractNumId w:val="20"/>
  </w:num>
  <w:num w:numId="21">
    <w:abstractNumId w:val="18"/>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07985"/>
    <w:rsid w:val="00012F86"/>
    <w:rsid w:val="00014740"/>
    <w:rsid w:val="000170B5"/>
    <w:rsid w:val="00017488"/>
    <w:rsid w:val="00020042"/>
    <w:rsid w:val="0002129F"/>
    <w:rsid w:val="00024AA9"/>
    <w:rsid w:val="00026F78"/>
    <w:rsid w:val="000272C2"/>
    <w:rsid w:val="0003064A"/>
    <w:rsid w:val="00032B63"/>
    <w:rsid w:val="000351CB"/>
    <w:rsid w:val="000374A5"/>
    <w:rsid w:val="0004019F"/>
    <w:rsid w:val="00044570"/>
    <w:rsid w:val="00056348"/>
    <w:rsid w:val="000571F6"/>
    <w:rsid w:val="00057C09"/>
    <w:rsid w:val="00063FA7"/>
    <w:rsid w:val="0006490F"/>
    <w:rsid w:val="00065A01"/>
    <w:rsid w:val="00066D5B"/>
    <w:rsid w:val="000678A2"/>
    <w:rsid w:val="00067EB5"/>
    <w:rsid w:val="000701EB"/>
    <w:rsid w:val="000719AA"/>
    <w:rsid w:val="00073A54"/>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0C13"/>
    <w:rsid w:val="000D17B9"/>
    <w:rsid w:val="000E132D"/>
    <w:rsid w:val="000E22C9"/>
    <w:rsid w:val="000E2763"/>
    <w:rsid w:val="000E31B5"/>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15E2"/>
    <w:rsid w:val="00133198"/>
    <w:rsid w:val="00133C60"/>
    <w:rsid w:val="00136D56"/>
    <w:rsid w:val="00146434"/>
    <w:rsid w:val="001465B1"/>
    <w:rsid w:val="00150EC7"/>
    <w:rsid w:val="00155EF5"/>
    <w:rsid w:val="00167F2B"/>
    <w:rsid w:val="0017179F"/>
    <w:rsid w:val="00172149"/>
    <w:rsid w:val="00175673"/>
    <w:rsid w:val="00176431"/>
    <w:rsid w:val="00183C8E"/>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D513D"/>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08B3"/>
    <w:rsid w:val="0022428B"/>
    <w:rsid w:val="002257FA"/>
    <w:rsid w:val="00235694"/>
    <w:rsid w:val="0024233E"/>
    <w:rsid w:val="00243BAC"/>
    <w:rsid w:val="00244BD6"/>
    <w:rsid w:val="00245A56"/>
    <w:rsid w:val="002466F4"/>
    <w:rsid w:val="00251E83"/>
    <w:rsid w:val="00252352"/>
    <w:rsid w:val="00255067"/>
    <w:rsid w:val="0025738E"/>
    <w:rsid w:val="00257989"/>
    <w:rsid w:val="00261E55"/>
    <w:rsid w:val="002628B9"/>
    <w:rsid w:val="00264B03"/>
    <w:rsid w:val="0027474D"/>
    <w:rsid w:val="00274A7E"/>
    <w:rsid w:val="00276918"/>
    <w:rsid w:val="00276ED1"/>
    <w:rsid w:val="002775AB"/>
    <w:rsid w:val="0027792C"/>
    <w:rsid w:val="00283CA0"/>
    <w:rsid w:val="00285788"/>
    <w:rsid w:val="00285AF5"/>
    <w:rsid w:val="0028709C"/>
    <w:rsid w:val="00291D75"/>
    <w:rsid w:val="00295B67"/>
    <w:rsid w:val="002A1B4E"/>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2F5B31"/>
    <w:rsid w:val="0030080B"/>
    <w:rsid w:val="0030114D"/>
    <w:rsid w:val="00302B74"/>
    <w:rsid w:val="003032B7"/>
    <w:rsid w:val="0030550A"/>
    <w:rsid w:val="003129E8"/>
    <w:rsid w:val="00315AB7"/>
    <w:rsid w:val="00324AFE"/>
    <w:rsid w:val="00324D0F"/>
    <w:rsid w:val="003259CD"/>
    <w:rsid w:val="0032657A"/>
    <w:rsid w:val="00330B6B"/>
    <w:rsid w:val="003339E5"/>
    <w:rsid w:val="00333E01"/>
    <w:rsid w:val="00335017"/>
    <w:rsid w:val="003408A4"/>
    <w:rsid w:val="00340DAD"/>
    <w:rsid w:val="00340DC8"/>
    <w:rsid w:val="00345971"/>
    <w:rsid w:val="00345DE6"/>
    <w:rsid w:val="0034647B"/>
    <w:rsid w:val="00350382"/>
    <w:rsid w:val="00353DC2"/>
    <w:rsid w:val="003541A6"/>
    <w:rsid w:val="003545ED"/>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5FA"/>
    <w:rsid w:val="003F0CBE"/>
    <w:rsid w:val="003F3179"/>
    <w:rsid w:val="003F3DED"/>
    <w:rsid w:val="003F57BD"/>
    <w:rsid w:val="003F5B70"/>
    <w:rsid w:val="00401818"/>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1A30"/>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AFA"/>
    <w:rsid w:val="004B3ECB"/>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6204"/>
    <w:rsid w:val="00511171"/>
    <w:rsid w:val="005136CC"/>
    <w:rsid w:val="00513858"/>
    <w:rsid w:val="00514B37"/>
    <w:rsid w:val="00514EEC"/>
    <w:rsid w:val="00521874"/>
    <w:rsid w:val="00521920"/>
    <w:rsid w:val="005246B1"/>
    <w:rsid w:val="00530B04"/>
    <w:rsid w:val="00530C91"/>
    <w:rsid w:val="00533C9F"/>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1D19"/>
    <w:rsid w:val="00574FBD"/>
    <w:rsid w:val="005773BB"/>
    <w:rsid w:val="0058203D"/>
    <w:rsid w:val="00585C83"/>
    <w:rsid w:val="00586604"/>
    <w:rsid w:val="00587DDD"/>
    <w:rsid w:val="005903B9"/>
    <w:rsid w:val="00591FDD"/>
    <w:rsid w:val="005A1F9D"/>
    <w:rsid w:val="005A3798"/>
    <w:rsid w:val="005A67E5"/>
    <w:rsid w:val="005A7302"/>
    <w:rsid w:val="005A7305"/>
    <w:rsid w:val="005B00A6"/>
    <w:rsid w:val="005C2844"/>
    <w:rsid w:val="005C7F3F"/>
    <w:rsid w:val="005D6266"/>
    <w:rsid w:val="005E0987"/>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11E0"/>
    <w:rsid w:val="00652DD9"/>
    <w:rsid w:val="006559C8"/>
    <w:rsid w:val="00657405"/>
    <w:rsid w:val="006605C2"/>
    <w:rsid w:val="00661864"/>
    <w:rsid w:val="00663A00"/>
    <w:rsid w:val="00664FA6"/>
    <w:rsid w:val="0066632E"/>
    <w:rsid w:val="00671514"/>
    <w:rsid w:val="0067183A"/>
    <w:rsid w:val="00671943"/>
    <w:rsid w:val="00673682"/>
    <w:rsid w:val="00680E6D"/>
    <w:rsid w:val="006832A4"/>
    <w:rsid w:val="006846E9"/>
    <w:rsid w:val="006872DB"/>
    <w:rsid w:val="00695ED2"/>
    <w:rsid w:val="006968B4"/>
    <w:rsid w:val="006A1022"/>
    <w:rsid w:val="006A1A83"/>
    <w:rsid w:val="006A2C4B"/>
    <w:rsid w:val="006A2E94"/>
    <w:rsid w:val="006A541C"/>
    <w:rsid w:val="006A55D2"/>
    <w:rsid w:val="006B42B8"/>
    <w:rsid w:val="006B4563"/>
    <w:rsid w:val="006B6104"/>
    <w:rsid w:val="006B763D"/>
    <w:rsid w:val="006B7EDD"/>
    <w:rsid w:val="006C44B4"/>
    <w:rsid w:val="006C5B46"/>
    <w:rsid w:val="006D0365"/>
    <w:rsid w:val="006D2068"/>
    <w:rsid w:val="006D3725"/>
    <w:rsid w:val="006D4AE1"/>
    <w:rsid w:val="006D52D8"/>
    <w:rsid w:val="006D5AAB"/>
    <w:rsid w:val="006E0111"/>
    <w:rsid w:val="006E3C13"/>
    <w:rsid w:val="006E5CB6"/>
    <w:rsid w:val="006F0139"/>
    <w:rsid w:val="006F214B"/>
    <w:rsid w:val="006F28C7"/>
    <w:rsid w:val="007001DD"/>
    <w:rsid w:val="0070294E"/>
    <w:rsid w:val="00702E14"/>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78B9"/>
    <w:rsid w:val="00790C15"/>
    <w:rsid w:val="007931BC"/>
    <w:rsid w:val="00793646"/>
    <w:rsid w:val="0079521E"/>
    <w:rsid w:val="00796071"/>
    <w:rsid w:val="007A0C2E"/>
    <w:rsid w:val="007A1510"/>
    <w:rsid w:val="007A2DC8"/>
    <w:rsid w:val="007A4D97"/>
    <w:rsid w:val="007A768C"/>
    <w:rsid w:val="007B2CAC"/>
    <w:rsid w:val="007B2E26"/>
    <w:rsid w:val="007B44FB"/>
    <w:rsid w:val="007C0E38"/>
    <w:rsid w:val="007C18E3"/>
    <w:rsid w:val="007C4E08"/>
    <w:rsid w:val="007D0411"/>
    <w:rsid w:val="007D2F4C"/>
    <w:rsid w:val="007D3DFF"/>
    <w:rsid w:val="007D3F38"/>
    <w:rsid w:val="007D4D3A"/>
    <w:rsid w:val="007D4DB8"/>
    <w:rsid w:val="007D7E63"/>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95837"/>
    <w:rsid w:val="008A0105"/>
    <w:rsid w:val="008A1884"/>
    <w:rsid w:val="008A6467"/>
    <w:rsid w:val="008B034D"/>
    <w:rsid w:val="008B0BBC"/>
    <w:rsid w:val="008B4153"/>
    <w:rsid w:val="008B5356"/>
    <w:rsid w:val="008B7927"/>
    <w:rsid w:val="008C5AF3"/>
    <w:rsid w:val="008C6AD1"/>
    <w:rsid w:val="008C71B5"/>
    <w:rsid w:val="008E431F"/>
    <w:rsid w:val="008E4487"/>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0B62"/>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3F0"/>
    <w:rsid w:val="009E0D20"/>
    <w:rsid w:val="009E0F6B"/>
    <w:rsid w:val="009E23B7"/>
    <w:rsid w:val="009E27D7"/>
    <w:rsid w:val="009E2964"/>
    <w:rsid w:val="009E497C"/>
    <w:rsid w:val="009E5D18"/>
    <w:rsid w:val="009E7DCD"/>
    <w:rsid w:val="009F55F9"/>
    <w:rsid w:val="009F5CC0"/>
    <w:rsid w:val="009F6F8B"/>
    <w:rsid w:val="009F7164"/>
    <w:rsid w:val="00A01631"/>
    <w:rsid w:val="00A01E86"/>
    <w:rsid w:val="00A02F0A"/>
    <w:rsid w:val="00A1074D"/>
    <w:rsid w:val="00A11BBD"/>
    <w:rsid w:val="00A127DD"/>
    <w:rsid w:val="00A12AEE"/>
    <w:rsid w:val="00A14E6C"/>
    <w:rsid w:val="00A167EC"/>
    <w:rsid w:val="00A172E6"/>
    <w:rsid w:val="00A24434"/>
    <w:rsid w:val="00A24C8D"/>
    <w:rsid w:val="00A26F15"/>
    <w:rsid w:val="00A30E37"/>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2C9"/>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4832"/>
    <w:rsid w:val="00B74907"/>
    <w:rsid w:val="00B74917"/>
    <w:rsid w:val="00B807AB"/>
    <w:rsid w:val="00B80F53"/>
    <w:rsid w:val="00B82E26"/>
    <w:rsid w:val="00B95FBC"/>
    <w:rsid w:val="00B97C44"/>
    <w:rsid w:val="00BA05AE"/>
    <w:rsid w:val="00BA2FA3"/>
    <w:rsid w:val="00BA6418"/>
    <w:rsid w:val="00BA7D18"/>
    <w:rsid w:val="00BB3A8F"/>
    <w:rsid w:val="00BC19F6"/>
    <w:rsid w:val="00BC2A83"/>
    <w:rsid w:val="00BC4685"/>
    <w:rsid w:val="00BD02D0"/>
    <w:rsid w:val="00BD0D15"/>
    <w:rsid w:val="00BD5425"/>
    <w:rsid w:val="00BE5E74"/>
    <w:rsid w:val="00BF0332"/>
    <w:rsid w:val="00BF5FCC"/>
    <w:rsid w:val="00C00FA2"/>
    <w:rsid w:val="00C04C3C"/>
    <w:rsid w:val="00C069A2"/>
    <w:rsid w:val="00C069EC"/>
    <w:rsid w:val="00C13301"/>
    <w:rsid w:val="00C17416"/>
    <w:rsid w:val="00C1748F"/>
    <w:rsid w:val="00C21867"/>
    <w:rsid w:val="00C221D5"/>
    <w:rsid w:val="00C2280A"/>
    <w:rsid w:val="00C2652B"/>
    <w:rsid w:val="00C274E0"/>
    <w:rsid w:val="00C30598"/>
    <w:rsid w:val="00C33C6B"/>
    <w:rsid w:val="00C346C7"/>
    <w:rsid w:val="00C373FB"/>
    <w:rsid w:val="00C41E61"/>
    <w:rsid w:val="00C43268"/>
    <w:rsid w:val="00C43CB0"/>
    <w:rsid w:val="00C45C85"/>
    <w:rsid w:val="00C515CA"/>
    <w:rsid w:val="00C533E6"/>
    <w:rsid w:val="00C55EEB"/>
    <w:rsid w:val="00C56730"/>
    <w:rsid w:val="00C6024F"/>
    <w:rsid w:val="00C60CE3"/>
    <w:rsid w:val="00C63D95"/>
    <w:rsid w:val="00C63DEC"/>
    <w:rsid w:val="00C64B94"/>
    <w:rsid w:val="00C739BF"/>
    <w:rsid w:val="00C747DF"/>
    <w:rsid w:val="00C74F44"/>
    <w:rsid w:val="00C768C1"/>
    <w:rsid w:val="00C76C24"/>
    <w:rsid w:val="00C7740D"/>
    <w:rsid w:val="00C80E3F"/>
    <w:rsid w:val="00C87539"/>
    <w:rsid w:val="00C90663"/>
    <w:rsid w:val="00C93DCA"/>
    <w:rsid w:val="00C95412"/>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5B0E"/>
    <w:rsid w:val="00CF0534"/>
    <w:rsid w:val="00CF3FF0"/>
    <w:rsid w:val="00CF41AF"/>
    <w:rsid w:val="00CF4567"/>
    <w:rsid w:val="00CF53AB"/>
    <w:rsid w:val="00CF6815"/>
    <w:rsid w:val="00CF7051"/>
    <w:rsid w:val="00D0393F"/>
    <w:rsid w:val="00D04D3D"/>
    <w:rsid w:val="00D11B02"/>
    <w:rsid w:val="00D1202C"/>
    <w:rsid w:val="00D12617"/>
    <w:rsid w:val="00D16DDF"/>
    <w:rsid w:val="00D16E24"/>
    <w:rsid w:val="00D20486"/>
    <w:rsid w:val="00D228D8"/>
    <w:rsid w:val="00D31439"/>
    <w:rsid w:val="00D33677"/>
    <w:rsid w:val="00D34934"/>
    <w:rsid w:val="00D34AF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649B3"/>
    <w:rsid w:val="00D7047A"/>
    <w:rsid w:val="00D719E9"/>
    <w:rsid w:val="00D72225"/>
    <w:rsid w:val="00D73550"/>
    <w:rsid w:val="00D838F7"/>
    <w:rsid w:val="00D8479E"/>
    <w:rsid w:val="00D868F1"/>
    <w:rsid w:val="00D87EFF"/>
    <w:rsid w:val="00D91AE6"/>
    <w:rsid w:val="00D941E0"/>
    <w:rsid w:val="00D95840"/>
    <w:rsid w:val="00DA554C"/>
    <w:rsid w:val="00DA5F07"/>
    <w:rsid w:val="00DB133A"/>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6D8"/>
    <w:rsid w:val="00E57743"/>
    <w:rsid w:val="00E577C9"/>
    <w:rsid w:val="00E57A97"/>
    <w:rsid w:val="00E62C06"/>
    <w:rsid w:val="00E62DD3"/>
    <w:rsid w:val="00E63747"/>
    <w:rsid w:val="00E66D8F"/>
    <w:rsid w:val="00E6742D"/>
    <w:rsid w:val="00E71707"/>
    <w:rsid w:val="00E71EF1"/>
    <w:rsid w:val="00E730D3"/>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538D"/>
    <w:rsid w:val="00EB7F72"/>
    <w:rsid w:val="00EC4357"/>
    <w:rsid w:val="00EC45F7"/>
    <w:rsid w:val="00EC49A4"/>
    <w:rsid w:val="00EC4EF3"/>
    <w:rsid w:val="00EC6E7B"/>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0CCE"/>
    <w:rsid w:val="00F10E38"/>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559F"/>
    <w:rsid w:val="00F76A40"/>
    <w:rsid w:val="00F80C07"/>
    <w:rsid w:val="00F81A41"/>
    <w:rsid w:val="00F853BD"/>
    <w:rsid w:val="00F87264"/>
    <w:rsid w:val="00F908E9"/>
    <w:rsid w:val="00F96C94"/>
    <w:rsid w:val="00FA2B8F"/>
    <w:rsid w:val="00FA47E6"/>
    <w:rsid w:val="00FA56D6"/>
    <w:rsid w:val="00FA595F"/>
    <w:rsid w:val="00FA6B9F"/>
    <w:rsid w:val="00FA6C24"/>
    <w:rsid w:val="00FB651A"/>
    <w:rsid w:val="00FC0CB3"/>
    <w:rsid w:val="00FC2999"/>
    <w:rsid w:val="00FC59D8"/>
    <w:rsid w:val="00FC765F"/>
    <w:rsid w:val="00FC781D"/>
    <w:rsid w:val="00FD1861"/>
    <w:rsid w:val="00FD1F3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10E38"/>
    <w:pPr>
      <w:tabs>
        <w:tab w:val="right" w:leader="dot" w:pos="9350"/>
      </w:tabs>
    </w:p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330B6B"/>
    <w:rPr>
      <w:rFonts w:ascii="Arial" w:hAnsi="Arial"/>
    </w:rPr>
  </w:style>
  <w:style w:type="paragraph" w:styleId="BodyText">
    <w:name w:val="Body Text"/>
    <w:basedOn w:val="Normal"/>
    <w:link w:val="BodyTextChar"/>
    <w:rsid w:val="004B3ECB"/>
    <w:pPr>
      <w:spacing w:after="120"/>
    </w:pPr>
  </w:style>
  <w:style w:type="character" w:customStyle="1" w:styleId="BodyTextChar">
    <w:name w:val="Body Text Char"/>
    <w:basedOn w:val="DefaultParagraphFont"/>
    <w:link w:val="BodyText"/>
    <w:rsid w:val="004B3ECB"/>
    <w:rPr>
      <w:rFonts w:ascii="Arial" w:hAnsi="Arial"/>
      <w:sz w:val="22"/>
      <w:szCs w:val="24"/>
    </w:rPr>
  </w:style>
  <w:style w:type="paragraph" w:styleId="ListParagraph">
    <w:name w:val="List Paragraph"/>
    <w:basedOn w:val="Normal"/>
    <w:uiPriority w:val="34"/>
    <w:qFormat/>
    <w:rsid w:val="00F755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10E38"/>
    <w:pPr>
      <w:tabs>
        <w:tab w:val="right" w:leader="dot" w:pos="9350"/>
      </w:tabs>
    </w:p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330B6B"/>
    <w:rPr>
      <w:rFonts w:ascii="Arial" w:hAnsi="Arial"/>
    </w:rPr>
  </w:style>
  <w:style w:type="paragraph" w:styleId="BodyText">
    <w:name w:val="Body Text"/>
    <w:basedOn w:val="Normal"/>
    <w:link w:val="BodyTextChar"/>
    <w:rsid w:val="004B3ECB"/>
    <w:pPr>
      <w:spacing w:after="120"/>
    </w:pPr>
  </w:style>
  <w:style w:type="character" w:customStyle="1" w:styleId="BodyTextChar">
    <w:name w:val="Body Text Char"/>
    <w:basedOn w:val="DefaultParagraphFont"/>
    <w:link w:val="BodyText"/>
    <w:rsid w:val="004B3ECB"/>
    <w:rPr>
      <w:rFonts w:ascii="Arial" w:hAnsi="Arial"/>
      <w:sz w:val="22"/>
      <w:szCs w:val="24"/>
    </w:rPr>
  </w:style>
  <w:style w:type="paragraph" w:styleId="ListParagraph">
    <w:name w:val="List Paragraph"/>
    <w:basedOn w:val="Normal"/>
    <w:uiPriority w:val="34"/>
    <w:qFormat/>
    <w:rsid w:val="00F75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4268">
      <w:bodyDiv w:val="1"/>
      <w:marLeft w:val="0"/>
      <w:marRight w:val="0"/>
      <w:marTop w:val="0"/>
      <w:marBottom w:val="0"/>
      <w:divBdr>
        <w:top w:val="none" w:sz="0" w:space="0" w:color="auto"/>
        <w:left w:val="none" w:sz="0" w:space="0" w:color="auto"/>
        <w:bottom w:val="none" w:sz="0" w:space="0" w:color="auto"/>
        <w:right w:val="none" w:sz="0" w:space="0" w:color="auto"/>
      </w:divBdr>
    </w:div>
    <w:div w:id="266279694">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2114524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19832">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70297868">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8" Type="http://schemas.openxmlformats.org/officeDocument/2006/relationships/hyperlink" Target="http://www.deeresources.com" TargetMode="External"/><Relationship Id="rId3" Type="http://schemas.openxmlformats.org/officeDocument/2006/relationships/hyperlink" Target="http://www.deeresources.com" TargetMode="External"/><Relationship Id="rId7" Type="http://schemas.openxmlformats.org/officeDocument/2006/relationships/hyperlink" Target="http://www.deeresources.com" TargetMode="External"/><Relationship Id="rId12" Type="http://schemas.openxmlformats.org/officeDocument/2006/relationships/oleObject" Target="embeddings/Microsoft_Word_97_-_2003_Document1.doc"/><Relationship Id="rId2" Type="http://schemas.openxmlformats.org/officeDocument/2006/relationships/hyperlink" Target="http://www.deeresources.com" TargetMode="External"/><Relationship Id="rId1" Type="http://schemas.openxmlformats.org/officeDocument/2006/relationships/hyperlink" Target="http://www.deerresources.com" TargetMode="External"/><Relationship Id="rId6" Type="http://schemas.openxmlformats.org/officeDocument/2006/relationships/hyperlink" Target="http://www.deeresources.com" TargetMode="External"/><Relationship Id="rId11" Type="http://schemas.openxmlformats.org/officeDocument/2006/relationships/image" Target="media/image2.emf"/><Relationship Id="rId5" Type="http://schemas.openxmlformats.org/officeDocument/2006/relationships/hyperlink" Target="http://www.deeresources.com" TargetMode="External"/><Relationship Id="rId10" Type="http://schemas.openxmlformats.org/officeDocument/2006/relationships/hyperlink" Target="http://www.deeresources.com" TargetMode="External"/><Relationship Id="rId4" Type="http://schemas.openxmlformats.org/officeDocument/2006/relationships/hyperlink" Target="http://www.deeresources.com" TargetMode="External"/><Relationship Id="rId9"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52E4E5B2-8866-49B2-B420-14AD17EBD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14</Pages>
  <Words>2916</Words>
  <Characters>19129</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22001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2014-06-04T05:18:00Z</dcterms:created>
  <dcterms:modified xsi:type="dcterms:W3CDTF">2014-06-04T05:18:00Z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